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60A" w:rsidRPr="00C541B8" w:rsidRDefault="00B4560A" w:rsidP="00B4560A">
      <w:pPr>
        <w:pStyle w:val="Newpage"/>
        <w:jc w:val="center"/>
      </w:pPr>
      <w:bookmarkStart w:id="0" w:name="_Toc404346759"/>
      <w:r w:rsidRPr="00C541B8">
        <w:rPr>
          <w:bCs w:val="0"/>
        </w:rPr>
        <w:t xml:space="preserve">Diretrizes e Recomendações Técnicas para o Aperfeiçoamento da Gestão Fiscal dos Estados Brasileiros </w:t>
      </w:r>
      <w:r>
        <w:rPr>
          <w:bCs w:val="0"/>
          <w:color w:val="FF0000"/>
        </w:rPr>
        <w:t xml:space="preserve">(v </w:t>
      </w:r>
      <w:proofErr w:type="gramStart"/>
      <w:r>
        <w:rPr>
          <w:bCs w:val="0"/>
          <w:color w:val="FF0000"/>
        </w:rPr>
        <w:t>21</w:t>
      </w:r>
      <w:r w:rsidRPr="00C541B8">
        <w:rPr>
          <w:bCs w:val="0"/>
          <w:color w:val="FF0000"/>
        </w:rPr>
        <w:t>Nov2014</w:t>
      </w:r>
      <w:proofErr w:type="gramEnd"/>
      <w:r w:rsidRPr="00C541B8">
        <w:rPr>
          <w:bCs w:val="0"/>
          <w:color w:val="FF0000"/>
        </w:rPr>
        <w:t>)</w:t>
      </w:r>
    </w:p>
    <w:p w:rsidR="00B4560A" w:rsidRPr="002F3159" w:rsidRDefault="00B4560A" w:rsidP="00B4560A">
      <w:pPr>
        <w:pStyle w:val="Paragraph"/>
        <w:numPr>
          <w:ilvl w:val="0"/>
          <w:numId w:val="0"/>
        </w:numPr>
        <w:rPr>
          <w:b/>
          <w:bCs/>
          <w:iCs/>
          <w:lang w:val="pt-BR"/>
        </w:rPr>
      </w:pPr>
      <w:r>
        <w:rPr>
          <w:b/>
          <w:bCs/>
          <w:iCs/>
          <w:lang w:val="pt-BR"/>
        </w:rPr>
        <w:t>B.</w:t>
      </w:r>
      <w:r>
        <w:rPr>
          <w:b/>
          <w:bCs/>
          <w:iCs/>
          <w:lang w:val="pt-BR"/>
        </w:rPr>
        <w:tab/>
      </w:r>
      <w:r w:rsidRPr="002F3159">
        <w:rPr>
          <w:b/>
          <w:bCs/>
          <w:iCs/>
          <w:lang w:val="pt-BR"/>
        </w:rPr>
        <w:t>Os Avanços da Gestão Fiscal Subnacional</w:t>
      </w:r>
      <w:bookmarkEnd w:id="0"/>
    </w:p>
    <w:p w:rsidR="00B4560A" w:rsidRPr="0009507A" w:rsidRDefault="00B4560A" w:rsidP="00B4560A">
      <w:pPr>
        <w:pStyle w:val="Paragraph"/>
        <w:numPr>
          <w:ilvl w:val="0"/>
          <w:numId w:val="0"/>
        </w:numPr>
        <w:outlineLvl w:val="2"/>
        <w:rPr>
          <w:b/>
          <w:szCs w:val="24"/>
          <w:lang w:val="pt-BR"/>
        </w:rPr>
      </w:pPr>
      <w:bookmarkStart w:id="1" w:name="_Toc404346760"/>
      <w:r w:rsidRPr="0009507A">
        <w:rPr>
          <w:b/>
          <w:szCs w:val="24"/>
          <w:lang w:val="pt-BR"/>
        </w:rPr>
        <w:t>(i</w:t>
      </w:r>
      <w:proofErr w:type="gramStart"/>
      <w:r w:rsidRPr="0009507A">
        <w:rPr>
          <w:b/>
          <w:szCs w:val="24"/>
          <w:lang w:val="pt-BR"/>
        </w:rPr>
        <w:t>)</w:t>
      </w:r>
      <w:proofErr w:type="gramEnd"/>
      <w:r w:rsidRPr="0009507A">
        <w:rPr>
          <w:b/>
          <w:szCs w:val="24"/>
          <w:lang w:val="pt-BR"/>
        </w:rPr>
        <w:tab/>
        <w:t>Primeiro ciclo de modernização da gestão fiscal</w:t>
      </w:r>
      <w:r>
        <w:rPr>
          <w:b/>
          <w:szCs w:val="24"/>
          <w:lang w:val="pt-BR"/>
        </w:rPr>
        <w:t>:</w:t>
      </w:r>
      <w:r w:rsidRPr="0009507A">
        <w:rPr>
          <w:b/>
          <w:szCs w:val="24"/>
          <w:lang w:val="pt-BR"/>
        </w:rPr>
        <w:t xml:space="preserve"> 1996 - 2006</w:t>
      </w:r>
      <w:bookmarkEnd w:id="1"/>
    </w:p>
    <w:p w:rsidR="00D05E3D" w:rsidRDefault="00B4560A">
      <w:pPr>
        <w:rPr>
          <w:bCs/>
          <w:szCs w:val="24"/>
        </w:rPr>
      </w:pPr>
      <w:r>
        <w:rPr>
          <w:szCs w:val="24"/>
        </w:rPr>
        <w:t xml:space="preserve">- </w:t>
      </w:r>
      <w:r w:rsidRPr="002F64C3">
        <w:rPr>
          <w:szCs w:val="24"/>
        </w:rPr>
        <w:t xml:space="preserve">Um primeiro ciclo de modernização </w:t>
      </w:r>
      <w:bookmarkStart w:id="2" w:name="_GoBack"/>
      <w:bookmarkEnd w:id="2"/>
      <w:r w:rsidRPr="002F64C3">
        <w:rPr>
          <w:szCs w:val="24"/>
        </w:rPr>
        <w:t>no período de 1996 a 2006, suportado</w:t>
      </w:r>
      <w:r>
        <w:rPr>
          <w:szCs w:val="24"/>
        </w:rPr>
        <w:t xml:space="preserve"> </w:t>
      </w:r>
      <w:r w:rsidRPr="00801B9B">
        <w:rPr>
          <w:szCs w:val="24"/>
          <w:highlight w:val="yellow"/>
        </w:rPr>
        <w:t>principalmente</w:t>
      </w:r>
      <w:r w:rsidRPr="002F64C3">
        <w:rPr>
          <w:szCs w:val="24"/>
        </w:rPr>
        <w:t xml:space="preserve"> pelo Programa Nacional de Apoio à Modernização Fiscal para os Estados Brasileiros (</w:t>
      </w:r>
      <w:r w:rsidRPr="002F64C3">
        <w:rPr>
          <w:bCs/>
          <w:szCs w:val="24"/>
        </w:rPr>
        <w:t>PNAFE</w:t>
      </w:r>
      <w:proofErr w:type="gramStart"/>
      <w:r>
        <w:rPr>
          <w:bCs/>
          <w:szCs w:val="24"/>
        </w:rPr>
        <w:t>)</w:t>
      </w:r>
      <w:proofErr w:type="gramEnd"/>
    </w:p>
    <w:p w:rsidR="00B4560A" w:rsidRDefault="00B4560A">
      <w:pPr>
        <w:rPr>
          <w:szCs w:val="24"/>
        </w:rPr>
      </w:pPr>
      <w:proofErr w:type="gramStart"/>
      <w:r w:rsidRPr="00D36FE8">
        <w:rPr>
          <w:szCs w:val="24"/>
        </w:rPr>
        <w:t>objetivo</w:t>
      </w:r>
      <w:proofErr w:type="gramEnd"/>
      <w:r w:rsidRPr="00D36FE8">
        <w:rPr>
          <w:szCs w:val="24"/>
        </w:rPr>
        <w:t xml:space="preserve"> </w:t>
      </w:r>
      <w:r w:rsidRPr="00D36FE8">
        <w:t>melhorar a eficiência administrativa, a racionalização e a transparência na gestão dos recursos públicos estaduais</w:t>
      </w:r>
      <w:r w:rsidRPr="002F64C3">
        <w:rPr>
          <w:szCs w:val="24"/>
        </w:rPr>
        <w:t xml:space="preserve"> </w:t>
      </w:r>
    </w:p>
    <w:p w:rsidR="00B4560A" w:rsidRDefault="00B4560A">
      <w:pPr>
        <w:rPr>
          <w:szCs w:val="24"/>
        </w:rPr>
      </w:pPr>
      <w:r w:rsidRPr="00D36FE8">
        <w:rPr>
          <w:szCs w:val="24"/>
        </w:rPr>
        <w:t xml:space="preserve">27 projetos tributários e </w:t>
      </w:r>
      <w:r w:rsidRPr="00AA2498">
        <w:rPr>
          <w:szCs w:val="24"/>
          <w:highlight w:val="yellow"/>
        </w:rPr>
        <w:t>26 projetos financeiros</w:t>
      </w:r>
      <w:r w:rsidRPr="00D36FE8">
        <w:rPr>
          <w:szCs w:val="24"/>
        </w:rPr>
        <w:t xml:space="preserve"> </w:t>
      </w:r>
    </w:p>
    <w:p w:rsidR="00B4560A" w:rsidRDefault="00B4560A">
      <w:pPr>
        <w:rPr>
          <w:szCs w:val="24"/>
        </w:rPr>
      </w:pPr>
      <w:r w:rsidRPr="002F64C3">
        <w:rPr>
          <w:szCs w:val="24"/>
        </w:rPr>
        <w:t xml:space="preserve">Coordenação Nacional, na Secretaria Executiva do Ministério da </w:t>
      </w:r>
      <w:proofErr w:type="gramStart"/>
      <w:r w:rsidRPr="002F64C3">
        <w:rPr>
          <w:szCs w:val="24"/>
        </w:rPr>
        <w:t>Fazenda</w:t>
      </w:r>
      <w:proofErr w:type="gramEnd"/>
    </w:p>
    <w:p w:rsidR="00B4560A" w:rsidRDefault="00B4560A">
      <w:pPr>
        <w:rPr>
          <w:szCs w:val="24"/>
        </w:rPr>
      </w:pPr>
      <w:r w:rsidRPr="002F64C3">
        <w:rPr>
          <w:szCs w:val="24"/>
        </w:rPr>
        <w:t>(Unidade de Coordenação do Programa - UCP) e Unidades de Coordenação Estadual (UCE)</w:t>
      </w:r>
    </w:p>
    <w:p w:rsidR="00B4560A" w:rsidRDefault="00B4560A">
      <w:pPr>
        <w:rPr>
          <w:szCs w:val="24"/>
        </w:rPr>
      </w:pPr>
      <w:r>
        <w:rPr>
          <w:szCs w:val="24"/>
        </w:rPr>
        <w:t>O CONFAZ, como ó</w:t>
      </w:r>
      <w:r w:rsidRPr="002F64C3">
        <w:rPr>
          <w:szCs w:val="24"/>
        </w:rPr>
        <w:t xml:space="preserve">rgão colegiado representativo de todos os Estados, foi o fórum </w:t>
      </w:r>
      <w:r>
        <w:rPr>
          <w:szCs w:val="24"/>
        </w:rPr>
        <w:t xml:space="preserve">de debate dos </w:t>
      </w:r>
      <w:r w:rsidRPr="002F64C3">
        <w:rPr>
          <w:szCs w:val="24"/>
        </w:rPr>
        <w:t xml:space="preserve">temas fiscais mais </w:t>
      </w:r>
      <w:proofErr w:type="gramStart"/>
      <w:r w:rsidRPr="002F64C3">
        <w:rPr>
          <w:szCs w:val="24"/>
        </w:rPr>
        <w:t>importantes</w:t>
      </w:r>
      <w:proofErr w:type="gramEnd"/>
    </w:p>
    <w:p w:rsidR="00B4560A" w:rsidRDefault="00B4560A">
      <w:pPr>
        <w:rPr>
          <w:szCs w:val="18"/>
        </w:rPr>
      </w:pPr>
      <w:proofErr w:type="gramStart"/>
      <w:r w:rsidRPr="00D36FE8">
        <w:rPr>
          <w:szCs w:val="24"/>
        </w:rPr>
        <w:t>sobre</w:t>
      </w:r>
      <w:proofErr w:type="gramEnd"/>
      <w:r w:rsidRPr="00D36FE8">
        <w:rPr>
          <w:szCs w:val="24"/>
        </w:rPr>
        <w:t xml:space="preserve"> a base e os contribuintes do ICMS, por meio do </w:t>
      </w:r>
      <w:r w:rsidRPr="00D36FE8">
        <w:rPr>
          <w:szCs w:val="18"/>
        </w:rPr>
        <w:t>Sistema de Integração Nacional (SINTEGRA)</w:t>
      </w:r>
      <w:r>
        <w:rPr>
          <w:szCs w:val="18"/>
        </w:rPr>
        <w:t>,</w:t>
      </w:r>
    </w:p>
    <w:p w:rsidR="00B4560A" w:rsidRDefault="00B4560A">
      <w:pPr>
        <w:rPr>
          <w:szCs w:val="24"/>
        </w:rPr>
      </w:pPr>
      <w:proofErr w:type="gramStart"/>
      <w:r w:rsidRPr="00D36FE8">
        <w:rPr>
          <w:szCs w:val="24"/>
        </w:rPr>
        <w:t>viabilizou</w:t>
      </w:r>
      <w:proofErr w:type="gramEnd"/>
      <w:r w:rsidRPr="00D36FE8">
        <w:rPr>
          <w:szCs w:val="24"/>
        </w:rPr>
        <w:t xml:space="preserve"> a estruturação de uma rede fazendária que disseminou o conhecimento e, objetivamente</w:t>
      </w:r>
      <w:r>
        <w:rPr>
          <w:szCs w:val="24"/>
        </w:rPr>
        <w:t>,</w:t>
      </w:r>
      <w:r w:rsidRPr="00D36FE8">
        <w:rPr>
          <w:szCs w:val="24"/>
        </w:rPr>
        <w:t xml:space="preserve"> implantou, entre outros produtos</w:t>
      </w:r>
      <w:r>
        <w:rPr>
          <w:szCs w:val="24"/>
        </w:rPr>
        <w:t>:</w:t>
      </w:r>
      <w:r w:rsidRPr="00D36FE8">
        <w:rPr>
          <w:szCs w:val="24"/>
        </w:rPr>
        <w:t xml:space="preserve"> </w:t>
      </w:r>
      <w:r>
        <w:rPr>
          <w:szCs w:val="24"/>
        </w:rPr>
        <w:t>(1) s</w:t>
      </w:r>
      <w:r w:rsidRPr="00D36FE8">
        <w:rPr>
          <w:szCs w:val="24"/>
        </w:rPr>
        <w:t>istemas de administração financeira em 18 unidades da federação</w:t>
      </w:r>
      <w:r w:rsidRPr="00D36FE8">
        <w:rPr>
          <w:rStyle w:val="Refdenotaderodap"/>
          <w:sz w:val="18"/>
        </w:rPr>
        <w:footnoteReference w:id="1"/>
      </w:r>
      <w:r w:rsidRPr="00D36FE8">
        <w:rPr>
          <w:sz w:val="18"/>
        </w:rPr>
        <w:t xml:space="preserve">; </w:t>
      </w:r>
      <w:r w:rsidRPr="00D36FE8">
        <w:rPr>
          <w:szCs w:val="24"/>
        </w:rPr>
        <w:t xml:space="preserve">e </w:t>
      </w:r>
      <w:r>
        <w:rPr>
          <w:szCs w:val="24"/>
        </w:rPr>
        <w:t>(2) C</w:t>
      </w:r>
      <w:r w:rsidRPr="00D36FE8">
        <w:rPr>
          <w:bCs/>
          <w:szCs w:val="24"/>
        </w:rPr>
        <w:t>ontrole eletrônico das declarações do ICMS</w:t>
      </w:r>
      <w:r w:rsidRPr="00D36FE8">
        <w:rPr>
          <w:szCs w:val="24"/>
        </w:rPr>
        <w:t xml:space="preserve"> em 21 unidades da federação.</w:t>
      </w:r>
      <w:r>
        <w:rPr>
          <w:szCs w:val="24"/>
        </w:rPr>
        <w:t xml:space="preserve"> Ainda proporcionou o desenvolvimento de soluções relacionadas com: (1) gestão de TI e infraestrutura de tecnologia; (2) gestão de pessoas e programas permanentes de capacitação; (3) programas de educação fiscal; (4) atendimento ao contribuinte; e (5) criação e fortalecimento de escolas </w:t>
      </w:r>
      <w:proofErr w:type="gramStart"/>
      <w:r>
        <w:rPr>
          <w:szCs w:val="24"/>
        </w:rPr>
        <w:t>fazendárias</w:t>
      </w:r>
      <w:proofErr w:type="gramEnd"/>
    </w:p>
    <w:p w:rsidR="00B4560A" w:rsidRDefault="00B4560A">
      <w:pPr>
        <w:rPr>
          <w:szCs w:val="24"/>
        </w:rPr>
      </w:pPr>
    </w:p>
    <w:p w:rsidR="00B4560A" w:rsidRPr="0009507A" w:rsidRDefault="00B4560A" w:rsidP="00B4560A">
      <w:pPr>
        <w:pStyle w:val="Paragraph"/>
        <w:numPr>
          <w:ilvl w:val="0"/>
          <w:numId w:val="0"/>
        </w:numPr>
        <w:outlineLvl w:val="2"/>
        <w:rPr>
          <w:b/>
          <w:lang w:val="pt-BR"/>
        </w:rPr>
      </w:pPr>
      <w:bookmarkStart w:id="3" w:name="_Toc404346761"/>
      <w:r w:rsidRPr="0009507A">
        <w:rPr>
          <w:b/>
          <w:lang w:val="pt-BR"/>
        </w:rPr>
        <w:t>(</w:t>
      </w:r>
      <w:proofErr w:type="spellStart"/>
      <w:r w:rsidRPr="0009507A">
        <w:rPr>
          <w:b/>
          <w:lang w:val="pt-BR"/>
        </w:rPr>
        <w:t>ii</w:t>
      </w:r>
      <w:proofErr w:type="spellEnd"/>
      <w:proofErr w:type="gramStart"/>
      <w:r w:rsidRPr="0009507A">
        <w:rPr>
          <w:b/>
          <w:lang w:val="pt-BR"/>
        </w:rPr>
        <w:t>)</w:t>
      </w:r>
      <w:proofErr w:type="gramEnd"/>
      <w:r w:rsidRPr="0009507A">
        <w:rPr>
          <w:b/>
          <w:lang w:val="pt-BR"/>
        </w:rPr>
        <w:tab/>
      </w:r>
      <w:r>
        <w:rPr>
          <w:b/>
          <w:lang w:val="pt-BR"/>
        </w:rPr>
        <w:t>Segundo ciclo de modernização da gestão fiscal: 2009 - 2014</w:t>
      </w:r>
      <w:bookmarkEnd w:id="3"/>
      <w:r>
        <w:rPr>
          <w:b/>
          <w:lang w:val="pt-BR"/>
        </w:rPr>
        <w:t xml:space="preserve"> </w:t>
      </w:r>
    </w:p>
    <w:p w:rsidR="00B4560A" w:rsidRDefault="00B4560A">
      <w:proofErr w:type="gramStart"/>
      <w:r>
        <w:t>iniciado</w:t>
      </w:r>
      <w:proofErr w:type="gramEnd"/>
      <w:r>
        <w:t xml:space="preserve"> em 2009 com a aprovação do </w:t>
      </w:r>
      <w:r w:rsidRPr="004C4A6F">
        <w:t>Programa de Apoio a Gestão e Integração dos Fiscos no Brasil (</w:t>
      </w:r>
      <w:r>
        <w:t>PROFISCO)</w:t>
      </w:r>
    </w:p>
    <w:p w:rsidR="00B4560A" w:rsidRDefault="00B4560A">
      <w:proofErr w:type="gramStart"/>
      <w:r>
        <w:t>objetivo</w:t>
      </w:r>
      <w:proofErr w:type="gramEnd"/>
      <w:r>
        <w:t xml:space="preserve"> contribuir para a integração dos fiscos e modernização da gestão fiscal, financeira e patrimonial dos beneficiários</w:t>
      </w:r>
    </w:p>
    <w:p w:rsidR="00B4560A" w:rsidRDefault="00B4560A">
      <w:proofErr w:type="gramStart"/>
      <w:r>
        <w:t>apoio</w:t>
      </w:r>
      <w:proofErr w:type="gramEnd"/>
      <w:r>
        <w:t xml:space="preserve"> técnico da Comissão de Gestão Fazendária (COGEF)</w:t>
      </w:r>
    </w:p>
    <w:p w:rsidR="00B4560A" w:rsidRDefault="00B4560A">
      <w:pPr>
        <w:rPr>
          <w:szCs w:val="24"/>
        </w:rPr>
      </w:pPr>
      <w:proofErr w:type="gramStart"/>
      <w:r w:rsidRPr="00AA2498">
        <w:rPr>
          <w:highlight w:val="yellow"/>
        </w:rPr>
        <w:t>atua</w:t>
      </w:r>
      <w:proofErr w:type="gramEnd"/>
      <w:r w:rsidRPr="00AA2498">
        <w:rPr>
          <w:highlight w:val="yellow"/>
        </w:rPr>
        <w:t xml:space="preserve"> em coordenação com alguns dos grupos técnicos a ele vinculados</w:t>
      </w:r>
      <w:r>
        <w:rPr>
          <w:highlight w:val="yellow"/>
        </w:rPr>
        <w:t>:</w:t>
      </w:r>
      <w:r w:rsidRPr="00801B9B">
        <w:rPr>
          <w:highlight w:val="yellow"/>
        </w:rPr>
        <w:t xml:space="preserve"> Grupo de Gestores das Finanças Estaduais (GEFIN);</w:t>
      </w:r>
      <w:r w:rsidRPr="00AA2498">
        <w:rPr>
          <w:highlight w:val="yellow"/>
        </w:rPr>
        <w:t xml:space="preserve"> Encontro Nacional de Coordenadores e Administradores Tributários Estaduais (ENCAT); Grupo de Desenvolvimento do Servidor Fazendário (GDFAZ); Fórum Fiscal dos Estados Brasileiros (FEEB) </w:t>
      </w:r>
      <w:r>
        <w:rPr>
          <w:highlight w:val="yellow"/>
        </w:rPr>
        <w:t xml:space="preserve">e outros grupos incorporados </w:t>
      </w:r>
      <w:r w:rsidRPr="00801B9B">
        <w:rPr>
          <w:highlight w:val="yellow"/>
        </w:rPr>
        <w:t xml:space="preserve">recentemente </w:t>
      </w:r>
      <w:r w:rsidRPr="00AA2498">
        <w:rPr>
          <w:highlight w:val="yellow"/>
        </w:rPr>
        <w:lastRenderedPageBreak/>
        <w:t>Conselho dos Contenciosos dos Estados (CCONT) e Colégio Nacional das Procuradorias Fiscais (CNPF)</w:t>
      </w:r>
    </w:p>
    <w:p w:rsidR="00B4560A" w:rsidRDefault="00B4560A">
      <w:pPr>
        <w:rPr>
          <w:szCs w:val="24"/>
        </w:rPr>
      </w:pPr>
    </w:p>
    <w:p w:rsidR="00EF427B" w:rsidRDefault="00EF427B" w:rsidP="00EF427B">
      <w:pPr>
        <w:spacing w:after="240"/>
        <w:jc w:val="both"/>
      </w:pPr>
      <w:r>
        <w:t>Uma avaliação intermediária dos avanços alcançados pelo PROFISCO a</w:t>
      </w:r>
      <w:r w:rsidRPr="00DC73B6">
        <w:t>té julho de 2014</w:t>
      </w:r>
      <w:r>
        <w:rPr>
          <w:rStyle w:val="Refdenotaderodap"/>
        </w:rPr>
        <w:footnoteReference w:id="2"/>
      </w:r>
      <w:r w:rsidRPr="00DC73B6">
        <w:t xml:space="preserve"> </w:t>
      </w:r>
      <w:r>
        <w:t>revelou que d</w:t>
      </w:r>
      <w:r w:rsidRPr="00422FB8">
        <w:t xml:space="preserve">os vinte produtos emblemáticos </w:t>
      </w:r>
      <w:r>
        <w:t>priorizados para implementação pelas unidades da federação</w:t>
      </w:r>
      <w:r w:rsidRPr="00422FB8">
        <w:t xml:space="preserve">, a maior quantidade </w:t>
      </w:r>
      <w:r>
        <w:t xml:space="preserve">(40%) </w:t>
      </w:r>
      <w:r w:rsidRPr="00422FB8">
        <w:t xml:space="preserve">está relacionada ao objetivo </w:t>
      </w:r>
      <w:r>
        <w:t xml:space="preserve">de </w:t>
      </w:r>
      <w:r w:rsidRPr="0009507A">
        <w:rPr>
          <w:b/>
        </w:rPr>
        <w:t>aumento da arrecadação</w:t>
      </w:r>
      <w:r>
        <w:t xml:space="preserve">, com destaque para: (1) 10 unidades da federação já </w:t>
      </w:r>
      <w:proofErr w:type="gramStart"/>
      <w:r>
        <w:t>implementaram</w:t>
      </w:r>
      <w:proofErr w:type="gramEnd"/>
      <w:r>
        <w:t xml:space="preserve"> e 14 estão desenvolvendo s</w:t>
      </w:r>
      <w:r w:rsidRPr="00422FB8">
        <w:t>oluções para utilização das bases de dados do SPED (NF</w:t>
      </w:r>
      <w:r>
        <w:t>-</w:t>
      </w:r>
      <w:r w:rsidRPr="00422FB8">
        <w:t>e, EFD e ECD), incluindo hardware, software para auditoria, es</w:t>
      </w:r>
      <w:r>
        <w:t>tatística e segurança de dados; (2) 3 unidades da federação já implementaram e 18 estão implantando um novo modelo de g</w:t>
      </w:r>
      <w:r w:rsidRPr="00422FB8">
        <w:t>estão de fiscalização de trânsito de mercadorias</w:t>
      </w:r>
      <w:r>
        <w:t>.</w:t>
      </w:r>
    </w:p>
    <w:p w:rsidR="00B4560A" w:rsidRDefault="00B4560A">
      <w:pPr>
        <w:rPr>
          <w:szCs w:val="24"/>
        </w:rPr>
      </w:pPr>
    </w:p>
    <w:p w:rsidR="00EF427B" w:rsidRDefault="00EF427B" w:rsidP="00EF427B">
      <w:pPr>
        <w:spacing w:after="240"/>
        <w:jc w:val="both"/>
      </w:pPr>
      <w:r>
        <w:t xml:space="preserve">Observa-se que para a </w:t>
      </w:r>
      <w:r w:rsidRPr="00906F3C">
        <w:rPr>
          <w:b/>
        </w:rPr>
        <w:t>Administração financeira, contábil e a qualidade</w:t>
      </w:r>
      <w:r w:rsidRPr="0009507A">
        <w:rPr>
          <w:b/>
        </w:rPr>
        <w:t xml:space="preserve"> do gasto</w:t>
      </w:r>
      <w:r w:rsidRPr="00422FB8">
        <w:t xml:space="preserve"> existe uma </w:t>
      </w:r>
      <w:r>
        <w:t>menor concentração de produtos priorizados</w:t>
      </w:r>
      <w:r w:rsidRPr="00422FB8">
        <w:t xml:space="preserve"> e também um número menor de produt</w:t>
      </w:r>
      <w:r>
        <w:t>os já concluídos e implantados, cabendo ressaltar: (</w:t>
      </w:r>
      <w:r w:rsidRPr="00906F3C">
        <w:rPr>
          <w:highlight w:val="yellow"/>
        </w:rPr>
        <w:t xml:space="preserve">1) 14 unidades da federação estão implantando um novo modelo contabilidade </w:t>
      </w:r>
      <w:proofErr w:type="gramStart"/>
      <w:r w:rsidRPr="00906F3C">
        <w:rPr>
          <w:highlight w:val="yellow"/>
        </w:rPr>
        <w:t>pública (Plano de Contas Nacional)</w:t>
      </w:r>
      <w:proofErr w:type="gramEnd"/>
      <w:r w:rsidRPr="00906F3C">
        <w:rPr>
          <w:highlight w:val="yellow"/>
        </w:rPr>
        <w:t xml:space="preserve"> e o sistema integrado de planejamento e finanças; (2) 5 unidades da federação já implantaram e 4 estão implantando a nova contabilidade pública. Ainda, </w:t>
      </w:r>
      <w:proofErr w:type="gramStart"/>
      <w:r w:rsidRPr="00906F3C">
        <w:rPr>
          <w:highlight w:val="yellow"/>
        </w:rPr>
        <w:t>3</w:t>
      </w:r>
      <w:proofErr w:type="gramEnd"/>
      <w:r w:rsidRPr="00906F3C">
        <w:rPr>
          <w:highlight w:val="yellow"/>
        </w:rPr>
        <w:t xml:space="preserve"> unidades da federação já implantaram e 9 estão implantando um sistema integrado de planejamento e finanças.</w:t>
      </w:r>
    </w:p>
    <w:p w:rsidR="00EF427B" w:rsidRDefault="00EF427B" w:rsidP="00EF427B">
      <w:pPr>
        <w:spacing w:after="240"/>
        <w:jc w:val="both"/>
      </w:pPr>
    </w:p>
    <w:p w:rsidR="00EF427B" w:rsidRDefault="00EF427B" w:rsidP="00EF427B">
      <w:pPr>
        <w:spacing w:after="240"/>
        <w:jc w:val="both"/>
      </w:pPr>
      <w:r w:rsidRPr="00422FB8">
        <w:t xml:space="preserve">Para análise de produtos que impactam a </w:t>
      </w:r>
      <w:r w:rsidRPr="0009507A">
        <w:rPr>
          <w:b/>
        </w:rPr>
        <w:t>oferta de serviços ao contribuinte</w:t>
      </w:r>
      <w:r w:rsidRPr="00422FB8">
        <w:t>, considerou-se que todos os pro</w:t>
      </w:r>
      <w:r>
        <w:t xml:space="preserve">dutos vinculados </w:t>
      </w:r>
      <w:proofErr w:type="gramStart"/>
      <w:r>
        <w:t>a</w:t>
      </w:r>
      <w:proofErr w:type="gramEnd"/>
      <w:r>
        <w:t xml:space="preserve"> melhoria da gestão f</w:t>
      </w:r>
      <w:r w:rsidRPr="00422FB8">
        <w:t>azendária contribuem para o aprimoramento da qualidade da oferta de serviços e a satisfação do</w:t>
      </w:r>
      <w:r>
        <w:t>s contribuintes e cidadãos. Ness</w:t>
      </w:r>
      <w:r w:rsidRPr="00422FB8">
        <w:t xml:space="preserve">e </w:t>
      </w:r>
      <w:r>
        <w:t>contexto, o</w:t>
      </w:r>
      <w:r w:rsidRPr="00422FB8">
        <w:t xml:space="preserve">s produtos </w:t>
      </w:r>
      <w:r>
        <w:t>de maior relevância são</w:t>
      </w:r>
      <w:r w:rsidRPr="00422FB8">
        <w:t xml:space="preserve">: (i) </w:t>
      </w:r>
      <w:proofErr w:type="gramStart"/>
      <w:r>
        <w:t>4</w:t>
      </w:r>
      <w:proofErr w:type="gramEnd"/>
      <w:r>
        <w:t xml:space="preserve"> unidades da federação já implantaram e 20 estão implantado um p</w:t>
      </w:r>
      <w:r w:rsidRPr="00422FB8">
        <w:t>rograma de capacitação, gerenciamento de talentos e desenvolvimento de pessoal continua</w:t>
      </w:r>
      <w:r>
        <w:t>do; (</w:t>
      </w:r>
      <w:proofErr w:type="spellStart"/>
      <w:r>
        <w:t>ii</w:t>
      </w:r>
      <w:proofErr w:type="spellEnd"/>
      <w:r>
        <w:t>) 2 unidades da federação já implantaram e 19 estão implantado um novo m</w:t>
      </w:r>
      <w:r w:rsidRPr="00422FB8">
        <w:t xml:space="preserve">odelo </w:t>
      </w:r>
      <w:r>
        <w:t xml:space="preserve">de atendimento ao contribuinte; </w:t>
      </w:r>
      <w:r w:rsidRPr="00422FB8">
        <w:t>e (</w:t>
      </w:r>
      <w:proofErr w:type="spellStart"/>
      <w:r w:rsidRPr="00422FB8">
        <w:t>i</w:t>
      </w:r>
      <w:r>
        <w:t>ii</w:t>
      </w:r>
      <w:proofErr w:type="spellEnd"/>
      <w:r>
        <w:t>) 8 unidades da federação já implantaram e 19 estão implantado um plano diretor de gestão de tecnologia da informação e comunicação. Vale destacar ainda que o modelo de gestão do c</w:t>
      </w:r>
      <w:r w:rsidRPr="00422FB8">
        <w:t xml:space="preserve">onhecimento, apesar de ter sido considerado um dos produtos inovadores, somente foi previsto em 12 </w:t>
      </w:r>
      <w:r>
        <w:t>projetos</w:t>
      </w:r>
      <w:r w:rsidRPr="00422FB8">
        <w:t xml:space="preserve"> tendo sido implantado </w:t>
      </w:r>
      <w:r>
        <w:t>apenas</w:t>
      </w:r>
      <w:r w:rsidRPr="00422FB8">
        <w:t xml:space="preserve"> </w:t>
      </w:r>
      <w:r>
        <w:t>por</w:t>
      </w:r>
      <w:r w:rsidRPr="00422FB8">
        <w:t xml:space="preserve"> </w:t>
      </w:r>
      <w:proofErr w:type="gramStart"/>
      <w:r w:rsidRPr="00422FB8">
        <w:t>1</w:t>
      </w:r>
      <w:proofErr w:type="gramEnd"/>
      <w:r>
        <w:t xml:space="preserve"> unidade da federação</w:t>
      </w:r>
      <w:r w:rsidRPr="00422FB8">
        <w:t>.</w:t>
      </w:r>
    </w:p>
    <w:p w:rsidR="00EF427B" w:rsidRDefault="00EF427B" w:rsidP="00EF427B">
      <w:pPr>
        <w:spacing w:after="240"/>
        <w:jc w:val="both"/>
      </w:pPr>
    </w:p>
    <w:p w:rsidR="00EF427B" w:rsidRPr="00B25A32" w:rsidRDefault="00EF427B" w:rsidP="00EF427B">
      <w:pPr>
        <w:spacing w:after="240"/>
        <w:jc w:val="both"/>
        <w:rPr>
          <w:lang w:eastAsia="pt-BR"/>
        </w:rPr>
      </w:pPr>
      <w:bookmarkStart w:id="4" w:name="_Toc401757268"/>
      <w:r>
        <w:rPr>
          <w:lang w:eastAsia="pt-BR"/>
        </w:rPr>
        <w:t xml:space="preserve">A contribuição para a </w:t>
      </w:r>
      <w:r w:rsidRPr="00906F3C">
        <w:rPr>
          <w:b/>
          <w:highlight w:val="yellow"/>
          <w:lang w:eastAsia="pt-BR"/>
        </w:rPr>
        <w:t xml:space="preserve">integração dos </w:t>
      </w:r>
      <w:commentRangeStart w:id="5"/>
      <w:r w:rsidRPr="00906F3C">
        <w:rPr>
          <w:b/>
          <w:highlight w:val="yellow"/>
          <w:lang w:eastAsia="pt-BR"/>
        </w:rPr>
        <w:t>fiscos</w:t>
      </w:r>
      <w:commentRangeEnd w:id="5"/>
      <w:r>
        <w:rPr>
          <w:rStyle w:val="Refdecomentrio"/>
        </w:rPr>
        <w:commentReference w:id="5"/>
      </w:r>
      <w:r>
        <w:rPr>
          <w:lang w:eastAsia="pt-BR"/>
        </w:rPr>
        <w:t xml:space="preserve"> pode ser verificada por meio das </w:t>
      </w:r>
      <w:bookmarkEnd w:id="4"/>
      <w:r>
        <w:rPr>
          <w:lang w:eastAsia="pt-BR"/>
        </w:rPr>
        <w:t>seguintes ações:</w:t>
      </w:r>
    </w:p>
    <w:p w:rsidR="00EF427B" w:rsidRDefault="00EF427B" w:rsidP="00EF427B">
      <w:pPr>
        <w:spacing w:after="240"/>
        <w:jc w:val="both"/>
        <w:rPr>
          <w:b/>
          <w:lang w:eastAsia="pt-BR"/>
        </w:rPr>
      </w:pPr>
      <w:r w:rsidRPr="0009507A">
        <w:rPr>
          <w:b/>
          <w:lang w:eastAsia="pt-BR"/>
        </w:rPr>
        <w:t>Soluções técnicas compartilhadas</w:t>
      </w:r>
    </w:p>
    <w:p w:rsidR="00EF427B" w:rsidRDefault="00EF427B" w:rsidP="00EF427B">
      <w:pPr>
        <w:spacing w:after="240"/>
        <w:jc w:val="both"/>
        <w:rPr>
          <w:b/>
          <w:szCs w:val="24"/>
          <w:lang w:eastAsia="pt-BR"/>
        </w:rPr>
      </w:pPr>
      <w:r w:rsidRPr="00906F3C">
        <w:rPr>
          <w:b/>
          <w:szCs w:val="24"/>
          <w:highlight w:val="yellow"/>
          <w:lang w:eastAsia="pt-BR"/>
        </w:rPr>
        <w:t>Troca de informações no portal e em reuniões presenciais da COGEF.</w:t>
      </w:r>
    </w:p>
    <w:p w:rsidR="00EF427B" w:rsidRDefault="00EF427B" w:rsidP="00EF427B">
      <w:pPr>
        <w:spacing w:after="240"/>
        <w:jc w:val="both"/>
        <w:rPr>
          <w:szCs w:val="24"/>
          <w:lang w:eastAsia="pt-BR"/>
        </w:rPr>
      </w:pPr>
      <w:commentRangeStart w:id="6"/>
      <w:r w:rsidRPr="00906F3C">
        <w:rPr>
          <w:szCs w:val="24"/>
          <w:highlight w:val="yellow"/>
          <w:lang w:eastAsia="pt-BR"/>
        </w:rPr>
        <w:lastRenderedPageBreak/>
        <w:t xml:space="preserve">A economia de tempo e de recursos propiciada pelo intercâmbio de informações e de documentos no âmbito da Rede COGEF </w:t>
      </w:r>
      <w:commentRangeEnd w:id="6"/>
      <w:r w:rsidRPr="00906F3C">
        <w:rPr>
          <w:rStyle w:val="Refdecomentrio"/>
          <w:highlight w:val="yellow"/>
        </w:rPr>
        <w:commentReference w:id="6"/>
      </w:r>
    </w:p>
    <w:p w:rsidR="00EF427B" w:rsidRPr="00906F3C" w:rsidRDefault="00EF427B" w:rsidP="00EF427B">
      <w:pPr>
        <w:pStyle w:val="PargrafodaLista"/>
        <w:numPr>
          <w:ilvl w:val="0"/>
          <w:numId w:val="2"/>
        </w:numPr>
        <w:autoSpaceDE w:val="0"/>
        <w:autoSpaceDN w:val="0"/>
        <w:adjustRightInd w:val="0"/>
        <w:spacing w:before="240" w:after="240"/>
        <w:jc w:val="both"/>
        <w:rPr>
          <w:highlight w:val="yellow"/>
        </w:rPr>
      </w:pPr>
      <w:bookmarkStart w:id="7" w:name="_Toc401757269"/>
      <w:r w:rsidRPr="00906F3C">
        <w:rPr>
          <w:b/>
          <w:highlight w:val="yellow"/>
          <w:lang w:eastAsia="pt-BR"/>
        </w:rPr>
        <w:t>Cooperação e fortalecimento das Redes de Governança</w:t>
      </w:r>
      <w:commentRangeStart w:id="8"/>
      <w:r w:rsidRPr="00906F3C">
        <w:rPr>
          <w:highlight w:val="yellow"/>
          <w:vertAlign w:val="superscript"/>
          <w:lang w:eastAsia="pt-BR"/>
        </w:rPr>
        <w:footnoteReference w:id="3"/>
      </w:r>
      <w:bookmarkEnd w:id="7"/>
      <w:commentRangeEnd w:id="8"/>
      <w:r w:rsidRPr="00906F3C">
        <w:rPr>
          <w:rStyle w:val="Refdecomentrio"/>
          <w:highlight w:val="yellow"/>
        </w:rPr>
        <w:commentReference w:id="8"/>
      </w:r>
      <w:r w:rsidRPr="00906F3C">
        <w:rPr>
          <w:highlight w:val="yellow"/>
          <w:lang w:eastAsia="pt-BR"/>
        </w:rPr>
        <w:t xml:space="preserve">. Com o apoio </w:t>
      </w:r>
      <w:r w:rsidRPr="00906F3C">
        <w:rPr>
          <w:highlight w:val="yellow"/>
        </w:rPr>
        <w:t>de cooperação técnica do Banco a COGEF contribuiu para a integração dos distintos colegiados vinculados ao CONFAZ, por meio do desenvolvimento de estudos em áreas de interesse específico do GEFIN (Processo de convergência às Normas Internacionais de Contabilidade Aplicadas ao Setor Público – NBCASP e Índice de Transparência e Cidadania Fiscal - ITCF</w:t>
      </w:r>
      <w:r w:rsidRPr="00906F3C">
        <w:rPr>
          <w:iCs/>
          <w:highlight w:val="yellow"/>
        </w:rPr>
        <w:t>); do GDFAZ (Mapa de</w:t>
      </w:r>
      <w:r w:rsidRPr="00906F3C">
        <w:rPr>
          <w:highlight w:val="yellow"/>
        </w:rPr>
        <w:t xml:space="preserve"> competências técnicas, gerenciais e comportamentais das Secretarias Estaduais de Fazenda); e do ENCAT (Processo de criação de um ambiente tecnológico de natureza computacional - SEFAZ Nacional)</w:t>
      </w:r>
      <w:r w:rsidRPr="00906F3C">
        <w:rPr>
          <w:bCs/>
          <w:color w:val="FF0000"/>
          <w:highlight w:val="yellow"/>
          <w:lang w:eastAsia="pt-BR"/>
        </w:rPr>
        <w:t>.</w:t>
      </w:r>
    </w:p>
    <w:p w:rsidR="00EF427B" w:rsidRDefault="00EF427B" w:rsidP="00EF427B">
      <w:pPr>
        <w:spacing w:after="240"/>
        <w:jc w:val="both"/>
      </w:pPr>
    </w:p>
    <w:p w:rsidR="00EF427B" w:rsidRPr="002F3159" w:rsidRDefault="00EF427B" w:rsidP="00EF427B">
      <w:pPr>
        <w:pStyle w:val="Paragraph"/>
        <w:numPr>
          <w:ilvl w:val="0"/>
          <w:numId w:val="0"/>
        </w:numPr>
        <w:rPr>
          <w:b/>
          <w:bCs/>
          <w:iCs/>
          <w:lang w:val="pt-BR"/>
        </w:rPr>
      </w:pPr>
      <w:bookmarkStart w:id="9" w:name="_Toc404346762"/>
      <w:r w:rsidRPr="00F92260">
        <w:rPr>
          <w:b/>
          <w:bCs/>
          <w:iCs/>
          <w:lang w:val="pt-BR"/>
        </w:rPr>
        <w:t>C.</w:t>
      </w:r>
      <w:r w:rsidRPr="00F92260">
        <w:rPr>
          <w:b/>
          <w:bCs/>
          <w:iCs/>
          <w:lang w:val="pt-BR"/>
        </w:rPr>
        <w:tab/>
        <w:t>As Tendências Nacionais e Internacionais</w:t>
      </w:r>
      <w:bookmarkEnd w:id="9"/>
    </w:p>
    <w:p w:rsidR="00EF427B" w:rsidRDefault="00EF427B" w:rsidP="00EF427B">
      <w:pPr>
        <w:spacing w:after="240"/>
        <w:jc w:val="both"/>
        <w:rPr>
          <w:b/>
          <w:szCs w:val="24"/>
        </w:rPr>
      </w:pPr>
      <w:r w:rsidRPr="006B35C6">
        <w:rPr>
          <w:b/>
          <w:szCs w:val="24"/>
        </w:rPr>
        <w:t>Gestão para resultados</w:t>
      </w:r>
    </w:p>
    <w:p w:rsidR="00EF427B" w:rsidRDefault="00EF427B" w:rsidP="00EF427B">
      <w:pPr>
        <w:spacing w:after="240"/>
        <w:jc w:val="both"/>
        <w:rPr>
          <w:b/>
          <w:szCs w:val="24"/>
        </w:rPr>
      </w:pPr>
      <w:r w:rsidRPr="00C541B8">
        <w:rPr>
          <w:b/>
          <w:szCs w:val="24"/>
        </w:rPr>
        <w:t>Formação de redes</w:t>
      </w:r>
    </w:p>
    <w:p w:rsidR="00EF427B" w:rsidRDefault="00EF427B" w:rsidP="00EF427B">
      <w:pPr>
        <w:spacing w:after="240"/>
        <w:jc w:val="both"/>
        <w:rPr>
          <w:b/>
          <w:szCs w:val="24"/>
        </w:rPr>
      </w:pPr>
      <w:r w:rsidRPr="00C541B8">
        <w:rPr>
          <w:b/>
          <w:szCs w:val="24"/>
        </w:rPr>
        <w:t>Transparência fiscal</w:t>
      </w:r>
    </w:p>
    <w:p w:rsidR="00EF427B" w:rsidRDefault="00EF427B" w:rsidP="00EF427B">
      <w:pPr>
        <w:spacing w:after="240"/>
        <w:jc w:val="both"/>
        <w:rPr>
          <w:b/>
          <w:szCs w:val="24"/>
        </w:rPr>
      </w:pPr>
      <w:r w:rsidRPr="00C541B8">
        <w:rPr>
          <w:b/>
          <w:szCs w:val="24"/>
        </w:rPr>
        <w:t>Gestão do conhecimento</w:t>
      </w:r>
    </w:p>
    <w:p w:rsidR="00EF427B" w:rsidRDefault="00EF427B" w:rsidP="00EF427B">
      <w:pPr>
        <w:spacing w:after="240"/>
        <w:jc w:val="both"/>
        <w:rPr>
          <w:b/>
          <w:szCs w:val="23"/>
          <w:lang w:eastAsia="pt-BR"/>
        </w:rPr>
      </w:pPr>
      <w:r>
        <w:rPr>
          <w:b/>
          <w:szCs w:val="23"/>
          <w:lang w:eastAsia="pt-BR"/>
        </w:rPr>
        <w:t>Gestão de p</w:t>
      </w:r>
      <w:r w:rsidRPr="006F61FC">
        <w:rPr>
          <w:b/>
          <w:szCs w:val="23"/>
          <w:lang w:eastAsia="pt-BR"/>
        </w:rPr>
        <w:t>essoas</w:t>
      </w:r>
    </w:p>
    <w:p w:rsidR="00EF427B" w:rsidRDefault="00EF427B" w:rsidP="00EF427B">
      <w:pPr>
        <w:spacing w:after="240"/>
        <w:jc w:val="both"/>
        <w:rPr>
          <w:b/>
          <w:szCs w:val="23"/>
          <w:lang w:eastAsia="pt-BR"/>
        </w:rPr>
      </w:pPr>
      <w:r>
        <w:rPr>
          <w:b/>
          <w:szCs w:val="23"/>
          <w:lang w:eastAsia="pt-BR"/>
        </w:rPr>
        <w:t>Gestão da diversidade</w:t>
      </w:r>
    </w:p>
    <w:p w:rsidR="00EF427B" w:rsidRDefault="00EF427B" w:rsidP="00EF427B">
      <w:pPr>
        <w:spacing w:after="240"/>
        <w:jc w:val="both"/>
        <w:rPr>
          <w:b/>
          <w:szCs w:val="24"/>
        </w:rPr>
      </w:pPr>
      <w:r>
        <w:rPr>
          <w:b/>
          <w:szCs w:val="24"/>
        </w:rPr>
        <w:t>Gestão de tecnologia de informação e comunicação</w:t>
      </w:r>
    </w:p>
    <w:p w:rsidR="00EF427B" w:rsidRDefault="00EF427B" w:rsidP="00EF427B">
      <w:pPr>
        <w:spacing w:after="240"/>
        <w:jc w:val="both"/>
        <w:rPr>
          <w:b/>
          <w:szCs w:val="24"/>
        </w:rPr>
      </w:pPr>
      <w:r>
        <w:rPr>
          <w:b/>
          <w:szCs w:val="24"/>
        </w:rPr>
        <w:t>Atendimento ao cidadão</w:t>
      </w:r>
    </w:p>
    <w:p w:rsidR="00EF427B" w:rsidRDefault="00EF427B" w:rsidP="00EF427B">
      <w:pPr>
        <w:spacing w:after="240"/>
        <w:jc w:val="both"/>
        <w:rPr>
          <w:b/>
          <w:szCs w:val="24"/>
        </w:rPr>
      </w:pPr>
      <w:r>
        <w:rPr>
          <w:b/>
          <w:szCs w:val="24"/>
        </w:rPr>
        <w:t>Preservação do meio ambiente</w:t>
      </w:r>
    </w:p>
    <w:p w:rsidR="00EF427B" w:rsidRDefault="00EF427B" w:rsidP="00EF427B">
      <w:pPr>
        <w:spacing w:after="240"/>
        <w:jc w:val="both"/>
        <w:rPr>
          <w:rFonts w:ascii="Times New Roman" w:hAnsi="Times New Roman" w:cs="Times New Roman"/>
          <w:b/>
          <w:bCs/>
        </w:rPr>
      </w:pPr>
      <w:r w:rsidRPr="00F1689A">
        <w:rPr>
          <w:rFonts w:ascii="Times New Roman" w:hAnsi="Times New Roman" w:cs="Times New Roman"/>
          <w:b/>
          <w:bCs/>
        </w:rPr>
        <w:t>Organização da administração tributária</w:t>
      </w:r>
    </w:p>
    <w:p w:rsidR="00EF427B" w:rsidRDefault="00EF427B" w:rsidP="00EF427B">
      <w:pPr>
        <w:spacing w:after="240"/>
        <w:jc w:val="both"/>
        <w:rPr>
          <w:rFonts w:ascii="Times New Roman" w:hAnsi="Times New Roman" w:cs="Times New Roman"/>
          <w:b/>
          <w:bCs/>
        </w:rPr>
      </w:pPr>
      <w:r w:rsidRPr="00F1689A">
        <w:rPr>
          <w:rFonts w:ascii="Times New Roman" w:hAnsi="Times New Roman" w:cs="Times New Roman"/>
          <w:b/>
          <w:bCs/>
        </w:rPr>
        <w:t>Gestão da administração tributária</w:t>
      </w:r>
    </w:p>
    <w:p w:rsidR="00EF427B" w:rsidRDefault="00EF427B" w:rsidP="00EF427B">
      <w:pPr>
        <w:spacing w:after="240"/>
        <w:jc w:val="both"/>
        <w:rPr>
          <w:rFonts w:ascii="Times New Roman" w:hAnsi="Times New Roman" w:cs="Times New Roman"/>
          <w:b/>
          <w:bCs/>
        </w:rPr>
      </w:pPr>
      <w:r>
        <w:rPr>
          <w:rFonts w:ascii="Times New Roman" w:hAnsi="Times New Roman" w:cs="Times New Roman"/>
          <w:b/>
          <w:bCs/>
        </w:rPr>
        <w:t xml:space="preserve">Modelo </w:t>
      </w:r>
      <w:r w:rsidRPr="00D60E3B">
        <w:rPr>
          <w:rFonts w:ascii="Times New Roman" w:hAnsi="Times New Roman" w:cs="Times New Roman"/>
          <w:b/>
          <w:bCs/>
        </w:rPr>
        <w:t>operaciona</w:t>
      </w:r>
      <w:r>
        <w:rPr>
          <w:rFonts w:ascii="Times New Roman" w:hAnsi="Times New Roman" w:cs="Times New Roman"/>
          <w:b/>
          <w:bCs/>
        </w:rPr>
        <w:t>l</w:t>
      </w:r>
      <w:r w:rsidRPr="00D60E3B">
        <w:rPr>
          <w:rFonts w:ascii="Times New Roman" w:hAnsi="Times New Roman" w:cs="Times New Roman"/>
          <w:b/>
          <w:bCs/>
        </w:rPr>
        <w:t xml:space="preserve"> da administração tributária</w:t>
      </w:r>
    </w:p>
    <w:p w:rsidR="00EF427B" w:rsidRDefault="00EF427B" w:rsidP="00EF427B">
      <w:pPr>
        <w:spacing w:after="240"/>
        <w:jc w:val="both"/>
        <w:rPr>
          <w:rFonts w:ascii="Times New Roman" w:hAnsi="Times New Roman" w:cs="Times New Roman"/>
        </w:rPr>
      </w:pPr>
      <w:r w:rsidRPr="00F1689A">
        <w:rPr>
          <w:rFonts w:ascii="Times New Roman" w:hAnsi="Times New Roman" w:cs="Times New Roman"/>
          <w:b/>
          <w:bCs/>
        </w:rPr>
        <w:t>Análise de fatores derivados da economia do comportamento (</w:t>
      </w:r>
      <w:proofErr w:type="spellStart"/>
      <w:r w:rsidRPr="00F1689A">
        <w:rPr>
          <w:rFonts w:ascii="Times New Roman" w:hAnsi="Times New Roman" w:cs="Times New Roman"/>
          <w:b/>
          <w:bCs/>
          <w:i/>
          <w:iCs/>
        </w:rPr>
        <w:t>behavioral</w:t>
      </w:r>
      <w:proofErr w:type="spellEnd"/>
      <w:r w:rsidRPr="00F1689A">
        <w:rPr>
          <w:rFonts w:ascii="Times New Roman" w:hAnsi="Times New Roman" w:cs="Times New Roman"/>
          <w:b/>
          <w:bCs/>
          <w:i/>
          <w:iCs/>
        </w:rPr>
        <w:t xml:space="preserve"> </w:t>
      </w:r>
      <w:proofErr w:type="spellStart"/>
      <w:r w:rsidRPr="00F1689A">
        <w:rPr>
          <w:rFonts w:ascii="Times New Roman" w:hAnsi="Times New Roman" w:cs="Times New Roman"/>
          <w:b/>
          <w:bCs/>
          <w:i/>
          <w:iCs/>
        </w:rPr>
        <w:t>economics</w:t>
      </w:r>
      <w:proofErr w:type="spellEnd"/>
      <w:r w:rsidRPr="00F1689A">
        <w:rPr>
          <w:rFonts w:ascii="Times New Roman" w:hAnsi="Times New Roman" w:cs="Times New Roman"/>
        </w:rPr>
        <w:t>)</w:t>
      </w:r>
    </w:p>
    <w:p w:rsidR="00EF427B" w:rsidRDefault="00EF427B" w:rsidP="00EF427B">
      <w:pPr>
        <w:spacing w:after="240"/>
        <w:jc w:val="both"/>
        <w:rPr>
          <w:rFonts w:ascii="Times New Roman" w:hAnsi="Times New Roman" w:cs="Times New Roman"/>
          <w:b/>
          <w:bCs/>
        </w:rPr>
      </w:pPr>
      <w:r>
        <w:rPr>
          <w:rFonts w:ascii="Times New Roman" w:hAnsi="Times New Roman" w:cs="Times New Roman"/>
          <w:b/>
          <w:bCs/>
        </w:rPr>
        <w:t>A</w:t>
      </w:r>
      <w:r w:rsidRPr="00F1689A">
        <w:rPr>
          <w:rFonts w:ascii="Times New Roman" w:hAnsi="Times New Roman" w:cs="Times New Roman"/>
          <w:b/>
          <w:bCs/>
        </w:rPr>
        <w:t>uditoria baseada em risco</w:t>
      </w:r>
    </w:p>
    <w:p w:rsidR="00EF427B" w:rsidRDefault="00EF427B" w:rsidP="00EF427B">
      <w:pPr>
        <w:spacing w:after="240"/>
        <w:jc w:val="both"/>
        <w:rPr>
          <w:rFonts w:ascii="Times New Roman" w:hAnsi="Times New Roman" w:cs="Times New Roman"/>
          <w:b/>
        </w:rPr>
      </w:pPr>
      <w:r>
        <w:rPr>
          <w:rFonts w:ascii="Times New Roman" w:hAnsi="Times New Roman" w:cs="Times New Roman"/>
          <w:b/>
        </w:rPr>
        <w:t>A</w:t>
      </w:r>
      <w:r w:rsidRPr="00F1689A">
        <w:rPr>
          <w:rFonts w:ascii="Times New Roman" w:hAnsi="Times New Roman" w:cs="Times New Roman"/>
          <w:b/>
        </w:rPr>
        <w:t>nálise estatística para conhecer “clusters” de atitudes comportamentais dos contribuintes</w:t>
      </w:r>
    </w:p>
    <w:p w:rsidR="00EF427B" w:rsidRDefault="00EF427B" w:rsidP="00EF427B">
      <w:pPr>
        <w:spacing w:after="240"/>
        <w:jc w:val="both"/>
        <w:rPr>
          <w:rFonts w:ascii="Times New Roman" w:hAnsi="Times New Roman" w:cs="Times New Roman"/>
          <w:b/>
        </w:rPr>
      </w:pPr>
      <w:r>
        <w:rPr>
          <w:rFonts w:ascii="Times New Roman" w:hAnsi="Times New Roman" w:cs="Times New Roman"/>
          <w:b/>
        </w:rPr>
        <w:t>Passivos contingentes e g</w:t>
      </w:r>
      <w:r w:rsidRPr="00C50770">
        <w:rPr>
          <w:rFonts w:ascii="Times New Roman" w:hAnsi="Times New Roman" w:cs="Times New Roman"/>
          <w:b/>
        </w:rPr>
        <w:t>estão de riscos fiscais</w:t>
      </w:r>
    </w:p>
    <w:p w:rsidR="00EF427B" w:rsidRDefault="00EF427B" w:rsidP="00EF427B">
      <w:pPr>
        <w:spacing w:after="240"/>
        <w:jc w:val="both"/>
        <w:rPr>
          <w:rFonts w:ascii="Times New Roman" w:hAnsi="Times New Roman" w:cs="Times New Roman"/>
          <w:b/>
        </w:rPr>
      </w:pPr>
      <w:r w:rsidRPr="00E83764">
        <w:rPr>
          <w:rFonts w:ascii="Times New Roman" w:hAnsi="Times New Roman" w:cs="Times New Roman"/>
          <w:b/>
        </w:rPr>
        <w:lastRenderedPageBreak/>
        <w:t>Gestão de custos públicos</w:t>
      </w:r>
    </w:p>
    <w:p w:rsidR="00EF427B" w:rsidRDefault="00EF427B" w:rsidP="00EF427B">
      <w:pPr>
        <w:spacing w:after="240"/>
        <w:jc w:val="both"/>
        <w:rPr>
          <w:rFonts w:ascii="Times New Roman" w:hAnsi="Times New Roman" w:cs="Times New Roman"/>
          <w:b/>
        </w:rPr>
      </w:pPr>
      <w:r w:rsidRPr="00C50770">
        <w:rPr>
          <w:rFonts w:ascii="Times New Roman" w:hAnsi="Times New Roman" w:cs="Times New Roman"/>
          <w:b/>
        </w:rPr>
        <w:t xml:space="preserve">Convergência as Normas Internacionais Aplicáveis ao Setor Público (IPSAS).  </w:t>
      </w:r>
    </w:p>
    <w:p w:rsidR="00EF427B" w:rsidRDefault="00EF427B" w:rsidP="00EF427B">
      <w:pPr>
        <w:spacing w:after="240"/>
        <w:jc w:val="both"/>
        <w:rPr>
          <w:rFonts w:ascii="Times New Roman" w:hAnsi="Times New Roman" w:cs="Times New Roman"/>
          <w:b/>
        </w:rPr>
      </w:pPr>
      <w:r w:rsidRPr="00C50770">
        <w:rPr>
          <w:rFonts w:ascii="Times New Roman" w:hAnsi="Times New Roman" w:cs="Times New Roman"/>
          <w:b/>
        </w:rPr>
        <w:t>Relação público-privada</w:t>
      </w:r>
    </w:p>
    <w:p w:rsidR="00EF427B" w:rsidRDefault="00EF427B" w:rsidP="00EF427B">
      <w:pPr>
        <w:spacing w:after="240"/>
        <w:jc w:val="both"/>
        <w:rPr>
          <w:b/>
          <w:szCs w:val="24"/>
        </w:rPr>
      </w:pPr>
      <w:r>
        <w:rPr>
          <w:b/>
          <w:szCs w:val="24"/>
        </w:rPr>
        <w:t>Qualidade do g</w:t>
      </w:r>
      <w:r w:rsidRPr="00E83764">
        <w:rPr>
          <w:b/>
          <w:szCs w:val="24"/>
        </w:rPr>
        <w:t>asto</w:t>
      </w:r>
    </w:p>
    <w:p w:rsidR="00EF427B" w:rsidRDefault="00EF427B" w:rsidP="00EF427B">
      <w:pPr>
        <w:spacing w:after="240"/>
        <w:jc w:val="both"/>
      </w:pPr>
    </w:p>
    <w:p w:rsidR="00176FEB" w:rsidRPr="00C541B8" w:rsidRDefault="00176FEB" w:rsidP="00176FEB">
      <w:pPr>
        <w:pStyle w:val="Chapter"/>
        <w:outlineLvl w:val="0"/>
      </w:pPr>
      <w:bookmarkStart w:id="10" w:name="_Toc404346763"/>
      <w:r w:rsidRPr="00C541B8">
        <w:t>Problemas e Alternativas de solução</w:t>
      </w:r>
      <w:bookmarkEnd w:id="10"/>
    </w:p>
    <w:p w:rsidR="00176FEB" w:rsidRDefault="00176FEB" w:rsidP="00176FEB">
      <w:pPr>
        <w:pStyle w:val="Chapter"/>
        <w:numPr>
          <w:ilvl w:val="0"/>
          <w:numId w:val="0"/>
        </w:numPr>
        <w:ind w:left="90"/>
      </w:pPr>
      <w:bookmarkStart w:id="11" w:name="_Toc404346764"/>
      <w:r w:rsidRPr="00C541B8">
        <w:t>A.</w:t>
      </w:r>
      <w:r w:rsidRPr="00C541B8">
        <w:tab/>
      </w:r>
      <w:r w:rsidRPr="00A8304C">
        <w:t>Gestão Fazendária</w:t>
      </w:r>
      <w:bookmarkEnd w:id="11"/>
    </w:p>
    <w:p w:rsidR="00176FEB" w:rsidRDefault="00176FEB" w:rsidP="00176FEB">
      <w:pPr>
        <w:pStyle w:val="Chapter"/>
        <w:numPr>
          <w:ilvl w:val="0"/>
          <w:numId w:val="0"/>
        </w:numPr>
        <w:ind w:left="90"/>
      </w:pPr>
      <w:r>
        <w:t xml:space="preserve">Problema </w:t>
      </w:r>
      <w:proofErr w:type="gramStart"/>
      <w:r>
        <w:t>1</w:t>
      </w:r>
      <w:proofErr w:type="gramEnd"/>
      <w:r>
        <w:t xml:space="preserve"> (GF): </w:t>
      </w:r>
      <w:r w:rsidRPr="00D34B2E">
        <w:t>Baixo grau de maturidade na utilização de ferramentas de gestão</w:t>
      </w:r>
    </w:p>
    <w:p w:rsidR="00176FEB" w:rsidRDefault="00176FEB" w:rsidP="00176FEB">
      <w:pPr>
        <w:pStyle w:val="Paragraph"/>
        <w:numPr>
          <w:ilvl w:val="0"/>
          <w:numId w:val="0"/>
        </w:numPr>
        <w:outlineLvl w:val="9"/>
        <w:rPr>
          <w:b/>
          <w:lang w:val="pt-BR"/>
        </w:rPr>
      </w:pPr>
      <w:r>
        <w:rPr>
          <w:b/>
          <w:lang w:val="pt-BR"/>
        </w:rPr>
        <w:t xml:space="preserve">Problema </w:t>
      </w:r>
      <w:proofErr w:type="gramStart"/>
      <w:r>
        <w:rPr>
          <w:b/>
          <w:lang w:val="pt-BR"/>
        </w:rPr>
        <w:t>2</w:t>
      </w:r>
      <w:proofErr w:type="gramEnd"/>
      <w:r>
        <w:rPr>
          <w:b/>
          <w:lang w:val="pt-BR"/>
        </w:rPr>
        <w:t xml:space="preserve"> (GF): </w:t>
      </w:r>
      <w:r w:rsidRPr="00D34B2E">
        <w:rPr>
          <w:b/>
          <w:i/>
          <w:lang w:val="pt-BR"/>
        </w:rPr>
        <w:t>Deficiências na transparência e no controle social</w:t>
      </w:r>
      <w:r w:rsidRPr="006F61FC">
        <w:rPr>
          <w:b/>
          <w:lang w:val="pt-BR"/>
        </w:rPr>
        <w:t xml:space="preserve"> </w:t>
      </w:r>
    </w:p>
    <w:p w:rsidR="00176FEB" w:rsidRDefault="00176FEB" w:rsidP="00176FEB">
      <w:pPr>
        <w:autoSpaceDE w:val="0"/>
        <w:autoSpaceDN w:val="0"/>
        <w:adjustRightInd w:val="0"/>
        <w:spacing w:after="240"/>
        <w:rPr>
          <w:color w:val="000000"/>
          <w:szCs w:val="24"/>
        </w:rPr>
      </w:pPr>
      <w:r>
        <w:rPr>
          <w:b/>
        </w:rPr>
        <w:t xml:space="preserve">Problema </w:t>
      </w:r>
      <w:proofErr w:type="gramStart"/>
      <w:r>
        <w:rPr>
          <w:b/>
        </w:rPr>
        <w:t>3</w:t>
      </w:r>
      <w:proofErr w:type="gramEnd"/>
      <w:r>
        <w:rPr>
          <w:b/>
        </w:rPr>
        <w:t xml:space="preserve"> (GF): </w:t>
      </w:r>
      <w:r w:rsidRPr="00D34B2E">
        <w:rPr>
          <w:b/>
          <w:i/>
        </w:rPr>
        <w:t>Limitada oferta de serviços virtuais</w:t>
      </w:r>
    </w:p>
    <w:p w:rsidR="00176FEB" w:rsidRPr="00772C2A" w:rsidRDefault="00176FEB" w:rsidP="00176FEB">
      <w:pPr>
        <w:pStyle w:val="Paragraph"/>
        <w:numPr>
          <w:ilvl w:val="0"/>
          <w:numId w:val="0"/>
        </w:numPr>
        <w:outlineLvl w:val="9"/>
        <w:rPr>
          <w:b/>
          <w:lang w:val="pt-BR"/>
        </w:rPr>
      </w:pPr>
      <w:r w:rsidRPr="00772C2A">
        <w:rPr>
          <w:b/>
          <w:lang w:val="pt-BR"/>
        </w:rPr>
        <w:t xml:space="preserve">Problema </w:t>
      </w:r>
      <w:proofErr w:type="gramStart"/>
      <w:r w:rsidRPr="00772C2A">
        <w:rPr>
          <w:b/>
          <w:lang w:val="pt-BR"/>
        </w:rPr>
        <w:t>4</w:t>
      </w:r>
      <w:proofErr w:type="gramEnd"/>
      <w:r>
        <w:rPr>
          <w:b/>
          <w:lang w:val="pt-BR"/>
        </w:rPr>
        <w:t xml:space="preserve"> (GF)</w:t>
      </w:r>
      <w:r w:rsidRPr="00772C2A">
        <w:rPr>
          <w:b/>
          <w:lang w:val="pt-BR"/>
        </w:rPr>
        <w:t xml:space="preserve">: </w:t>
      </w:r>
      <w:r w:rsidRPr="00D34B2E">
        <w:rPr>
          <w:b/>
          <w:i/>
          <w:lang w:val="pt-BR"/>
        </w:rPr>
        <w:t>Baixa produtividade da administração fazendária</w:t>
      </w:r>
    </w:p>
    <w:p w:rsidR="00176FEB" w:rsidRPr="00772C2A" w:rsidRDefault="00176FEB" w:rsidP="00176FEB">
      <w:pPr>
        <w:pStyle w:val="Paragraph"/>
        <w:numPr>
          <w:ilvl w:val="0"/>
          <w:numId w:val="0"/>
        </w:numPr>
        <w:outlineLvl w:val="9"/>
        <w:rPr>
          <w:b/>
          <w:lang w:val="pt-BR"/>
        </w:rPr>
      </w:pPr>
      <w:r w:rsidRPr="00772C2A">
        <w:rPr>
          <w:b/>
          <w:lang w:val="pt-BR"/>
        </w:rPr>
        <w:t xml:space="preserve">Problema </w:t>
      </w:r>
      <w:proofErr w:type="gramStart"/>
      <w:r w:rsidRPr="00772C2A">
        <w:rPr>
          <w:b/>
          <w:lang w:val="pt-BR"/>
        </w:rPr>
        <w:t>5</w:t>
      </w:r>
      <w:proofErr w:type="gramEnd"/>
      <w:r>
        <w:rPr>
          <w:b/>
          <w:lang w:val="pt-BR"/>
        </w:rPr>
        <w:t xml:space="preserve"> (GF)</w:t>
      </w:r>
      <w:r w:rsidRPr="00772C2A">
        <w:rPr>
          <w:b/>
          <w:lang w:val="pt-BR"/>
        </w:rPr>
        <w:t xml:space="preserve">: </w:t>
      </w:r>
      <w:r w:rsidRPr="00D34B2E">
        <w:rPr>
          <w:b/>
          <w:i/>
          <w:lang w:val="pt-BR"/>
        </w:rPr>
        <w:t>Desigualdades de capacidade institucional entre as administrações fazendárias</w:t>
      </w:r>
    </w:p>
    <w:p w:rsidR="00176FEB" w:rsidRDefault="00176FEB" w:rsidP="00176FEB"/>
    <w:p w:rsidR="00176FEB" w:rsidRDefault="00176FEB" w:rsidP="00176FEB"/>
    <w:p w:rsidR="00176FEB" w:rsidRPr="00C541B8" w:rsidRDefault="00176FEB" w:rsidP="00176FEB">
      <w:pPr>
        <w:pStyle w:val="Chapter"/>
        <w:numPr>
          <w:ilvl w:val="0"/>
          <w:numId w:val="3"/>
        </w:numPr>
        <w:outlineLvl w:val="0"/>
      </w:pPr>
      <w:bookmarkStart w:id="12" w:name="_Toc404346767"/>
      <w:r w:rsidRPr="00C541B8">
        <w:t>Principais Resultados Esperados</w:t>
      </w:r>
      <w:bookmarkEnd w:id="12"/>
    </w:p>
    <w:p w:rsidR="00176FEB" w:rsidRDefault="00176FEB" w:rsidP="00EF427B">
      <w:pPr>
        <w:spacing w:after="240"/>
        <w:jc w:val="both"/>
      </w:pPr>
    </w:p>
    <w:p w:rsidR="00A62DEA" w:rsidRDefault="00A62DEA" w:rsidP="00A62DEA">
      <w:pPr>
        <w:pStyle w:val="Default"/>
        <w:spacing w:after="240"/>
        <w:jc w:val="both"/>
        <w:rPr>
          <w:rFonts w:ascii="Times New Roman" w:hAnsi="Times New Roman" w:cs="Times New Roman"/>
          <w:lang w:val="pt-BR"/>
        </w:rPr>
      </w:pPr>
      <w:r>
        <w:rPr>
          <w:rFonts w:ascii="Times New Roman" w:hAnsi="Times New Roman" w:cs="Times New Roman"/>
          <w:b/>
          <w:lang w:val="pt-BR"/>
        </w:rPr>
        <w:t xml:space="preserve">Resultado </w:t>
      </w:r>
      <w:proofErr w:type="gramStart"/>
      <w:r w:rsidRPr="00246431">
        <w:rPr>
          <w:rFonts w:ascii="Times New Roman" w:hAnsi="Times New Roman" w:cs="Times New Roman"/>
          <w:b/>
          <w:lang w:val="pt-BR"/>
        </w:rPr>
        <w:t>1</w:t>
      </w:r>
      <w:proofErr w:type="gramEnd"/>
      <w:r w:rsidRPr="00246431">
        <w:rPr>
          <w:rFonts w:ascii="Times New Roman" w:hAnsi="Times New Roman" w:cs="Times New Roman"/>
          <w:b/>
          <w:lang w:val="pt-BR"/>
        </w:rPr>
        <w:t xml:space="preserve">. Incremento do </w:t>
      </w:r>
      <w:r>
        <w:rPr>
          <w:rFonts w:ascii="Times New Roman" w:hAnsi="Times New Roman" w:cs="Times New Roman"/>
          <w:b/>
          <w:lang w:val="pt-BR"/>
        </w:rPr>
        <w:t>índice de maturidade da gestão para r</w:t>
      </w:r>
      <w:r w:rsidRPr="00246431">
        <w:rPr>
          <w:rFonts w:ascii="Times New Roman" w:hAnsi="Times New Roman" w:cs="Times New Roman"/>
          <w:b/>
          <w:lang w:val="pt-BR"/>
        </w:rPr>
        <w:t>esultados</w:t>
      </w:r>
      <w:r w:rsidRPr="00246431">
        <w:rPr>
          <w:rFonts w:ascii="Times New Roman" w:hAnsi="Times New Roman" w:cs="Times New Roman"/>
          <w:lang w:val="pt-BR"/>
        </w:rPr>
        <w:t xml:space="preserve">, considerando o estágio de implantação do modelo de </w:t>
      </w:r>
      <w:proofErr w:type="spellStart"/>
      <w:proofErr w:type="gramStart"/>
      <w:r w:rsidRPr="00246431">
        <w:rPr>
          <w:rFonts w:ascii="Times New Roman" w:hAnsi="Times New Roman" w:cs="Times New Roman"/>
          <w:lang w:val="pt-BR"/>
        </w:rPr>
        <w:t>GpR</w:t>
      </w:r>
      <w:proofErr w:type="spellEnd"/>
      <w:proofErr w:type="gramEnd"/>
      <w:r w:rsidRPr="00246431">
        <w:rPr>
          <w:rFonts w:ascii="Times New Roman" w:hAnsi="Times New Roman" w:cs="Times New Roman"/>
          <w:lang w:val="pt-BR"/>
        </w:rPr>
        <w:t xml:space="preserve">: </w:t>
      </w:r>
      <w:r>
        <w:rPr>
          <w:rFonts w:ascii="Times New Roman" w:hAnsi="Times New Roman" w:cs="Times New Roman"/>
          <w:lang w:val="pt-BR"/>
        </w:rPr>
        <w:t>(1) d</w:t>
      </w:r>
      <w:r w:rsidRPr="00246431">
        <w:rPr>
          <w:rFonts w:ascii="Times New Roman" w:hAnsi="Times New Roman" w:cs="Times New Roman"/>
          <w:lang w:val="pt-BR"/>
        </w:rPr>
        <w:t xml:space="preserve">e 0 a 75 pontos (inicial); </w:t>
      </w:r>
      <w:r>
        <w:rPr>
          <w:rFonts w:ascii="Times New Roman" w:hAnsi="Times New Roman" w:cs="Times New Roman"/>
          <w:lang w:val="pt-BR"/>
        </w:rPr>
        <w:t>(2) d</w:t>
      </w:r>
      <w:r w:rsidRPr="00246431">
        <w:rPr>
          <w:rFonts w:ascii="Times New Roman" w:hAnsi="Times New Roman" w:cs="Times New Roman"/>
          <w:lang w:val="pt-BR"/>
        </w:rPr>
        <w:t xml:space="preserve">e 75 a 150 pontos (intermediário); </w:t>
      </w:r>
      <w:r>
        <w:rPr>
          <w:rFonts w:ascii="Times New Roman" w:hAnsi="Times New Roman" w:cs="Times New Roman"/>
          <w:lang w:val="pt-BR"/>
        </w:rPr>
        <w:t>(3) d</w:t>
      </w:r>
      <w:r w:rsidRPr="00246431">
        <w:rPr>
          <w:rFonts w:ascii="Times New Roman" w:hAnsi="Times New Roman" w:cs="Times New Roman"/>
          <w:lang w:val="pt-BR"/>
        </w:rPr>
        <w:t>e 150 a 230 pontos (avançado).</w:t>
      </w:r>
    </w:p>
    <w:p w:rsidR="00A62DEA" w:rsidRDefault="00A62DEA" w:rsidP="00A62DEA">
      <w:pPr>
        <w:pStyle w:val="Default"/>
        <w:spacing w:after="240"/>
        <w:jc w:val="both"/>
        <w:rPr>
          <w:rFonts w:ascii="Times New Roman" w:hAnsi="Times New Roman" w:cs="Times New Roman"/>
          <w:lang w:val="pt-BR"/>
        </w:rPr>
      </w:pPr>
      <w:r>
        <w:rPr>
          <w:rFonts w:ascii="Times New Roman" w:hAnsi="Times New Roman" w:cs="Times New Roman"/>
          <w:b/>
          <w:lang w:val="pt-BR"/>
        </w:rPr>
        <w:t xml:space="preserve">Resultado </w:t>
      </w:r>
      <w:proofErr w:type="gramStart"/>
      <w:r>
        <w:rPr>
          <w:rFonts w:ascii="Times New Roman" w:hAnsi="Times New Roman" w:cs="Times New Roman"/>
          <w:b/>
          <w:lang w:val="pt-BR"/>
        </w:rPr>
        <w:t>2</w:t>
      </w:r>
      <w:proofErr w:type="gramEnd"/>
      <w:r w:rsidRPr="00A7392E">
        <w:rPr>
          <w:rFonts w:ascii="Times New Roman" w:hAnsi="Times New Roman" w:cs="Times New Roman"/>
          <w:b/>
          <w:lang w:val="pt-BR"/>
        </w:rPr>
        <w:t>. Aumento do nível de maturida</w:t>
      </w:r>
      <w:r>
        <w:rPr>
          <w:rFonts w:ascii="Times New Roman" w:hAnsi="Times New Roman" w:cs="Times New Roman"/>
          <w:b/>
          <w:lang w:val="pt-BR"/>
        </w:rPr>
        <w:t>de da prestação de serviços de tecnologia da informação</w:t>
      </w:r>
      <w:r w:rsidRPr="00A7392E">
        <w:rPr>
          <w:rFonts w:ascii="Times New Roman" w:hAnsi="Times New Roman" w:cs="Times New Roman"/>
          <w:b/>
          <w:lang w:val="pt-BR"/>
        </w:rPr>
        <w:t xml:space="preserve">, </w:t>
      </w:r>
      <w:r w:rsidRPr="00A7392E">
        <w:rPr>
          <w:rFonts w:ascii="Times New Roman" w:hAnsi="Times New Roman" w:cs="Times New Roman"/>
          <w:lang w:val="pt-BR"/>
        </w:rPr>
        <w:t xml:space="preserve">considerando </w:t>
      </w:r>
      <w:r>
        <w:rPr>
          <w:rFonts w:ascii="Times New Roman" w:hAnsi="Times New Roman" w:cs="Times New Roman"/>
          <w:lang w:val="pt-BR"/>
        </w:rPr>
        <w:t>os critérios de a</w:t>
      </w:r>
      <w:r w:rsidRPr="00A7392E">
        <w:rPr>
          <w:rFonts w:ascii="Times New Roman" w:hAnsi="Times New Roman" w:cs="Times New Roman"/>
          <w:lang w:val="pt-BR"/>
        </w:rPr>
        <w:t xml:space="preserve">valiação de </w:t>
      </w:r>
      <w:r>
        <w:rPr>
          <w:rFonts w:ascii="Times New Roman" w:hAnsi="Times New Roman" w:cs="Times New Roman"/>
          <w:lang w:val="pt-BR"/>
        </w:rPr>
        <w:t>tecnologia de informação</w:t>
      </w:r>
      <w:r w:rsidRPr="00A7392E">
        <w:rPr>
          <w:rFonts w:ascii="Times New Roman" w:hAnsi="Times New Roman" w:cs="Times New Roman"/>
          <w:lang w:val="pt-BR"/>
        </w:rPr>
        <w:t xml:space="preserve"> </w:t>
      </w:r>
      <w:r>
        <w:rPr>
          <w:rFonts w:ascii="Times New Roman" w:hAnsi="Times New Roman" w:cs="Times New Roman"/>
          <w:lang w:val="pt-BR"/>
        </w:rPr>
        <w:t>definidos</w:t>
      </w:r>
      <w:r w:rsidRPr="00A7392E">
        <w:rPr>
          <w:rFonts w:ascii="Times New Roman" w:hAnsi="Times New Roman" w:cs="Times New Roman"/>
          <w:lang w:val="pt-BR"/>
        </w:rPr>
        <w:t xml:space="preserve"> pelo Tribunal de Contas da União (TCU</w:t>
      </w:r>
      <w:proofErr w:type="gramStart"/>
      <w:r w:rsidRPr="00A7392E">
        <w:rPr>
          <w:rFonts w:ascii="Times New Roman" w:hAnsi="Times New Roman" w:cs="Times New Roman"/>
          <w:lang w:val="pt-BR"/>
        </w:rPr>
        <w:t>)</w:t>
      </w:r>
      <w:proofErr w:type="gramEnd"/>
      <w:r w:rsidRPr="00A7392E">
        <w:rPr>
          <w:rStyle w:val="Refdenotaderodap"/>
          <w:lang w:val="pt-BR"/>
        </w:rPr>
        <w:footnoteReference w:id="4"/>
      </w:r>
      <w:r>
        <w:rPr>
          <w:rFonts w:ascii="Times New Roman" w:hAnsi="Times New Roman" w:cs="Times New Roman"/>
          <w:lang w:val="pt-BR"/>
        </w:rPr>
        <w:t>.</w:t>
      </w:r>
    </w:p>
    <w:p w:rsidR="00A62DEA" w:rsidRDefault="00A62DEA" w:rsidP="00A62DEA">
      <w:pPr>
        <w:pStyle w:val="Default"/>
        <w:spacing w:after="240"/>
        <w:jc w:val="both"/>
        <w:rPr>
          <w:rFonts w:ascii="Times New Roman" w:hAnsi="Times New Roman" w:cs="Times New Roman"/>
          <w:lang w:val="pt-BR"/>
        </w:rPr>
      </w:pPr>
      <w:r w:rsidRPr="00A7392E">
        <w:rPr>
          <w:rFonts w:ascii="Times New Roman" w:hAnsi="Times New Roman" w:cs="Times New Roman"/>
          <w:b/>
          <w:lang w:val="pt-BR"/>
        </w:rPr>
        <w:t>Resultado</w:t>
      </w:r>
      <w:r>
        <w:rPr>
          <w:rFonts w:ascii="Times New Roman" w:hAnsi="Times New Roman" w:cs="Times New Roman"/>
          <w:b/>
          <w:lang w:val="pt-BR"/>
        </w:rPr>
        <w:t xml:space="preserve"> </w:t>
      </w:r>
      <w:proofErr w:type="gramStart"/>
      <w:r>
        <w:rPr>
          <w:rFonts w:ascii="Times New Roman" w:hAnsi="Times New Roman" w:cs="Times New Roman"/>
          <w:b/>
          <w:lang w:val="pt-BR"/>
        </w:rPr>
        <w:t>3</w:t>
      </w:r>
      <w:proofErr w:type="gramEnd"/>
      <w:r w:rsidRPr="00A7392E">
        <w:rPr>
          <w:rFonts w:ascii="Times New Roman" w:hAnsi="Times New Roman" w:cs="Times New Roman"/>
          <w:b/>
          <w:lang w:val="pt-BR"/>
        </w:rPr>
        <w:t xml:space="preserve">. Redução do tempo médio de atendimento presencial dos contribuintes, </w:t>
      </w:r>
      <w:r w:rsidRPr="00A7392E">
        <w:rPr>
          <w:rFonts w:ascii="Times New Roman" w:hAnsi="Times New Roman" w:cs="Times New Roman"/>
          <w:lang w:val="pt-BR"/>
        </w:rPr>
        <w:t>considerando o</w:t>
      </w:r>
      <w:r w:rsidRPr="00A7392E">
        <w:rPr>
          <w:rFonts w:ascii="Times New Roman" w:hAnsi="Times New Roman" w:cs="Times New Roman"/>
          <w:b/>
          <w:lang w:val="pt-BR"/>
        </w:rPr>
        <w:t xml:space="preserve"> </w:t>
      </w:r>
      <w:r w:rsidRPr="00A7392E">
        <w:rPr>
          <w:rFonts w:ascii="Times New Roman" w:hAnsi="Times New Roman" w:cs="Times New Roman"/>
          <w:lang w:val="pt-BR"/>
        </w:rPr>
        <w:t xml:space="preserve">TME (Tempo Médio de Espera) de </w:t>
      </w:r>
      <w:proofErr w:type="gramStart"/>
      <w:r w:rsidRPr="00A7392E">
        <w:rPr>
          <w:rFonts w:ascii="Times New Roman" w:hAnsi="Times New Roman" w:cs="Times New Roman"/>
          <w:lang w:val="pt-BR"/>
        </w:rPr>
        <w:t>0:11</w:t>
      </w:r>
      <w:proofErr w:type="gramEnd"/>
      <w:r w:rsidRPr="00A7392E">
        <w:rPr>
          <w:rFonts w:ascii="Times New Roman" w:hAnsi="Times New Roman" w:cs="Times New Roman"/>
          <w:lang w:val="pt-BR"/>
        </w:rPr>
        <w:t>:31 a 0:04:02</w:t>
      </w:r>
      <w:r>
        <w:rPr>
          <w:rFonts w:ascii="Times New Roman" w:hAnsi="Times New Roman" w:cs="Times New Roman"/>
          <w:lang w:val="pt-BR"/>
        </w:rPr>
        <w:t>.</w:t>
      </w:r>
    </w:p>
    <w:p w:rsidR="00A62DEA" w:rsidRPr="003F512A" w:rsidRDefault="00A62DEA" w:rsidP="00A62DEA">
      <w:pPr>
        <w:pStyle w:val="Default"/>
        <w:spacing w:after="240"/>
        <w:jc w:val="both"/>
        <w:rPr>
          <w:rFonts w:ascii="Times New Roman" w:hAnsi="Times New Roman" w:cs="Times New Roman"/>
          <w:b/>
          <w:lang w:val="pt-BR"/>
        </w:rPr>
      </w:pPr>
      <w:r w:rsidRPr="003F512A">
        <w:rPr>
          <w:rFonts w:ascii="Times New Roman" w:hAnsi="Times New Roman" w:cs="Times New Roman"/>
          <w:b/>
          <w:lang w:val="pt-BR"/>
        </w:rPr>
        <w:t xml:space="preserve">Resultado </w:t>
      </w:r>
      <w:proofErr w:type="gramStart"/>
      <w:r w:rsidRPr="003F512A">
        <w:rPr>
          <w:rFonts w:ascii="Times New Roman" w:hAnsi="Times New Roman" w:cs="Times New Roman"/>
          <w:b/>
          <w:lang w:val="pt-BR"/>
        </w:rPr>
        <w:t>4</w:t>
      </w:r>
      <w:proofErr w:type="gramEnd"/>
      <w:r w:rsidRPr="003F512A">
        <w:rPr>
          <w:rFonts w:ascii="Times New Roman" w:hAnsi="Times New Roman" w:cs="Times New Roman"/>
          <w:b/>
          <w:lang w:val="pt-BR"/>
        </w:rPr>
        <w:t xml:space="preserve">. </w:t>
      </w:r>
      <w:r>
        <w:rPr>
          <w:rFonts w:ascii="Times New Roman" w:hAnsi="Times New Roman" w:cs="Times New Roman"/>
          <w:b/>
          <w:lang w:val="pt-BR"/>
        </w:rPr>
        <w:t>Melhoria do índice de transparência f</w:t>
      </w:r>
      <w:r w:rsidRPr="003F512A">
        <w:rPr>
          <w:rFonts w:ascii="Times New Roman" w:hAnsi="Times New Roman" w:cs="Times New Roman"/>
          <w:b/>
          <w:lang w:val="pt-BR"/>
        </w:rPr>
        <w:t>iscal</w:t>
      </w:r>
      <w:r w:rsidRPr="003F512A">
        <w:rPr>
          <w:rFonts w:ascii="Times New Roman" w:hAnsi="Times New Roman" w:cs="Times New Roman"/>
          <w:lang w:val="pt-BR"/>
        </w:rPr>
        <w:t xml:space="preserve">, considerando os critérios utilizados </w:t>
      </w:r>
      <w:proofErr w:type="gramStart"/>
      <w:r w:rsidRPr="003F512A">
        <w:rPr>
          <w:rFonts w:ascii="Times New Roman" w:hAnsi="Times New Roman" w:cs="Times New Roman"/>
          <w:lang w:val="pt-BR"/>
        </w:rPr>
        <w:t>pelo Contas</w:t>
      </w:r>
      <w:proofErr w:type="gramEnd"/>
      <w:r w:rsidRPr="003F512A">
        <w:rPr>
          <w:rFonts w:ascii="Times New Roman" w:hAnsi="Times New Roman" w:cs="Times New Roman"/>
          <w:lang w:val="pt-BR"/>
        </w:rPr>
        <w:t xml:space="preserve"> Abertas ou mediante aplicação do Índice de Transparência e Cidadania Fiscal (ITCF), construído no âmbito do PROFISCO.</w:t>
      </w:r>
    </w:p>
    <w:p w:rsidR="00A62DEA" w:rsidRDefault="00A62DEA" w:rsidP="00A62DEA">
      <w:pPr>
        <w:spacing w:after="240"/>
        <w:jc w:val="both"/>
        <w:rPr>
          <w:rFonts w:cs="Times-Roman"/>
          <w:b/>
          <w:szCs w:val="24"/>
        </w:rPr>
      </w:pPr>
      <w:r>
        <w:rPr>
          <w:rFonts w:cs="Times-Roman"/>
          <w:b/>
          <w:szCs w:val="24"/>
        </w:rPr>
        <w:t xml:space="preserve">Resultado </w:t>
      </w:r>
      <w:proofErr w:type="gramStart"/>
      <w:r>
        <w:rPr>
          <w:rFonts w:cs="Times-Roman"/>
          <w:b/>
          <w:szCs w:val="24"/>
        </w:rPr>
        <w:t>5</w:t>
      </w:r>
      <w:proofErr w:type="gramEnd"/>
      <w:r>
        <w:rPr>
          <w:rFonts w:cs="Times-Roman"/>
          <w:b/>
          <w:szCs w:val="24"/>
        </w:rPr>
        <w:t xml:space="preserve">. Incremento da arrecadação do ICMS, </w:t>
      </w:r>
      <w:r>
        <w:rPr>
          <w:rFonts w:cs="Times-Roman"/>
          <w:szCs w:val="24"/>
        </w:rPr>
        <w:t>considerando um percentual mínimo de crescimento em relação à variação do PIB.</w:t>
      </w:r>
    </w:p>
    <w:p w:rsidR="00A62DEA" w:rsidRDefault="00A62DEA" w:rsidP="00A62DEA">
      <w:pPr>
        <w:spacing w:after="240"/>
        <w:jc w:val="both"/>
        <w:rPr>
          <w:rFonts w:cs="Times-Roman"/>
          <w:szCs w:val="24"/>
        </w:rPr>
      </w:pPr>
      <w:r>
        <w:rPr>
          <w:rFonts w:cs="Times-Roman"/>
          <w:b/>
          <w:szCs w:val="24"/>
        </w:rPr>
        <w:lastRenderedPageBreak/>
        <w:t xml:space="preserve">Resultado </w:t>
      </w:r>
      <w:proofErr w:type="gramStart"/>
      <w:r>
        <w:rPr>
          <w:rFonts w:cs="Times-Roman"/>
          <w:b/>
          <w:szCs w:val="24"/>
        </w:rPr>
        <w:t>6</w:t>
      </w:r>
      <w:proofErr w:type="gramEnd"/>
      <w:r>
        <w:rPr>
          <w:rFonts w:cs="Times-Roman"/>
          <w:b/>
          <w:szCs w:val="24"/>
        </w:rPr>
        <w:t xml:space="preserve">. </w:t>
      </w:r>
      <w:r w:rsidRPr="00294E02">
        <w:rPr>
          <w:rFonts w:cs="Times-Roman"/>
          <w:b/>
          <w:szCs w:val="24"/>
        </w:rPr>
        <w:t>Incremento do valor anual recuperado da dívida ativa</w:t>
      </w:r>
      <w:r>
        <w:rPr>
          <w:rFonts w:cs="Times-Roman"/>
          <w:b/>
          <w:szCs w:val="24"/>
        </w:rPr>
        <w:t>,</w:t>
      </w:r>
      <w:r w:rsidRPr="00294E02">
        <w:rPr>
          <w:rFonts w:cs="Times-Roman"/>
          <w:b/>
          <w:szCs w:val="24"/>
        </w:rPr>
        <w:t xml:space="preserve"> </w:t>
      </w:r>
      <w:r>
        <w:rPr>
          <w:rFonts w:cs="Times-Roman"/>
          <w:szCs w:val="24"/>
        </w:rPr>
        <w:t>considerando um percentual mínimo de recuperação em relação à variação do PIB.</w:t>
      </w:r>
    </w:p>
    <w:p w:rsidR="00A62DEA" w:rsidRDefault="00A62DEA" w:rsidP="00A62DEA">
      <w:pPr>
        <w:spacing w:after="240"/>
        <w:jc w:val="both"/>
        <w:rPr>
          <w:szCs w:val="24"/>
        </w:rPr>
      </w:pPr>
      <w:r>
        <w:rPr>
          <w:rFonts w:cs="Times-Roman"/>
          <w:b/>
          <w:szCs w:val="24"/>
        </w:rPr>
        <w:t xml:space="preserve">Resultado </w:t>
      </w:r>
      <w:proofErr w:type="gramStart"/>
      <w:r>
        <w:rPr>
          <w:rFonts w:cs="Times-Roman"/>
          <w:b/>
          <w:szCs w:val="24"/>
        </w:rPr>
        <w:t>7</w:t>
      </w:r>
      <w:proofErr w:type="gramEnd"/>
      <w:r w:rsidRPr="00181DC9">
        <w:rPr>
          <w:rFonts w:cs="Times-Roman"/>
          <w:b/>
          <w:szCs w:val="24"/>
        </w:rPr>
        <w:t xml:space="preserve">. </w:t>
      </w:r>
      <w:r w:rsidRPr="00181DC9">
        <w:rPr>
          <w:b/>
          <w:szCs w:val="24"/>
        </w:rPr>
        <w:t>E</w:t>
      </w:r>
      <w:r>
        <w:rPr>
          <w:b/>
          <w:szCs w:val="24"/>
        </w:rPr>
        <w:t>levação do i</w:t>
      </w:r>
      <w:r w:rsidRPr="00181DC9">
        <w:rPr>
          <w:b/>
          <w:szCs w:val="24"/>
        </w:rPr>
        <w:t xml:space="preserve">ndicador de </w:t>
      </w:r>
      <w:r>
        <w:rPr>
          <w:b/>
          <w:szCs w:val="24"/>
        </w:rPr>
        <w:t>c</w:t>
      </w:r>
      <w:r w:rsidRPr="00181DC9">
        <w:rPr>
          <w:b/>
          <w:szCs w:val="24"/>
        </w:rPr>
        <w:t xml:space="preserve">lassificação (PEFA - PI25) de qualidade e pontualidade dos relatórios financeiros anuais das entidades públicas, </w:t>
      </w:r>
      <w:r w:rsidRPr="00452258">
        <w:rPr>
          <w:szCs w:val="24"/>
        </w:rPr>
        <w:t>considerando que o</w:t>
      </w:r>
      <w:r w:rsidRPr="00181DC9">
        <w:rPr>
          <w:szCs w:val="24"/>
        </w:rPr>
        <w:t xml:space="preserve"> PI-25 é um indicador híbrido que co</w:t>
      </w:r>
      <w:r>
        <w:rPr>
          <w:szCs w:val="24"/>
        </w:rPr>
        <w:t>nsidera: (1) i</w:t>
      </w:r>
      <w:r w:rsidRPr="00181DC9">
        <w:rPr>
          <w:szCs w:val="24"/>
        </w:rPr>
        <w:t>ntegralidade das</w:t>
      </w:r>
      <w:r>
        <w:rPr>
          <w:szCs w:val="24"/>
        </w:rPr>
        <w:t xml:space="preserve"> informações financeiras, (2) o</w:t>
      </w:r>
      <w:r w:rsidRPr="00181DC9">
        <w:rPr>
          <w:szCs w:val="24"/>
        </w:rPr>
        <w:t>portunidade de apresentação das d</w:t>
      </w:r>
      <w:r>
        <w:rPr>
          <w:szCs w:val="24"/>
        </w:rPr>
        <w:t>emonstrações financeiras; e (3</w:t>
      </w:r>
      <w:r w:rsidRPr="00181DC9">
        <w:rPr>
          <w:szCs w:val="24"/>
        </w:rPr>
        <w:t xml:space="preserve">) normas contábeis </w:t>
      </w:r>
      <w:proofErr w:type="gramStart"/>
      <w:r w:rsidRPr="00181DC9">
        <w:rPr>
          <w:szCs w:val="24"/>
        </w:rPr>
        <w:t>utilizadas sendo este último</w:t>
      </w:r>
      <w:proofErr w:type="gramEnd"/>
      <w:r w:rsidRPr="00181DC9">
        <w:rPr>
          <w:szCs w:val="24"/>
        </w:rPr>
        <w:t xml:space="preserve"> o de mais baixa qualificação devido ao fato de que o Brasil ainda não utiliza totalmente as IPSAS</w:t>
      </w:r>
      <w:r>
        <w:rPr>
          <w:szCs w:val="24"/>
        </w:rPr>
        <w:t>.</w:t>
      </w:r>
    </w:p>
    <w:p w:rsidR="00A62DEA" w:rsidRDefault="00A62DEA" w:rsidP="00A62DEA">
      <w:pPr>
        <w:spacing w:after="240"/>
        <w:jc w:val="both"/>
        <w:rPr>
          <w:sz w:val="23"/>
          <w:szCs w:val="23"/>
        </w:rPr>
      </w:pPr>
      <w:r w:rsidRPr="00F333F0">
        <w:rPr>
          <w:b/>
          <w:szCs w:val="24"/>
        </w:rPr>
        <w:t xml:space="preserve">Resultado </w:t>
      </w:r>
      <w:proofErr w:type="gramStart"/>
      <w:r w:rsidRPr="00F333F0">
        <w:rPr>
          <w:b/>
          <w:szCs w:val="24"/>
        </w:rPr>
        <w:t>8</w:t>
      </w:r>
      <w:proofErr w:type="gramEnd"/>
      <w:r w:rsidRPr="00F333F0">
        <w:rPr>
          <w:b/>
          <w:szCs w:val="24"/>
        </w:rPr>
        <w:t xml:space="preserve">. Melhoria do indicador de </w:t>
      </w:r>
      <w:proofErr w:type="spellStart"/>
      <w:r w:rsidRPr="00894993">
        <w:rPr>
          <w:b/>
          <w:i/>
        </w:rPr>
        <w:t>Debt</w:t>
      </w:r>
      <w:proofErr w:type="spellEnd"/>
      <w:r w:rsidRPr="00894993">
        <w:rPr>
          <w:b/>
          <w:i/>
        </w:rPr>
        <w:t xml:space="preserve"> Management </w:t>
      </w:r>
      <w:proofErr w:type="gramStart"/>
      <w:r w:rsidRPr="00894993">
        <w:rPr>
          <w:b/>
          <w:i/>
        </w:rPr>
        <w:t>Performance</w:t>
      </w:r>
      <w:proofErr w:type="gramEnd"/>
      <w:r w:rsidRPr="00894993">
        <w:rPr>
          <w:b/>
          <w:i/>
        </w:rPr>
        <w:t xml:space="preserve"> </w:t>
      </w:r>
      <w:proofErr w:type="spellStart"/>
      <w:r w:rsidRPr="00894993">
        <w:rPr>
          <w:b/>
          <w:i/>
        </w:rPr>
        <w:t>Assessment</w:t>
      </w:r>
      <w:proofErr w:type="spellEnd"/>
      <w:r w:rsidRPr="00F333F0">
        <w:rPr>
          <w:b/>
        </w:rPr>
        <w:t xml:space="preserve"> (</w:t>
      </w:r>
      <w:proofErr w:type="spellStart"/>
      <w:r w:rsidRPr="00F333F0">
        <w:rPr>
          <w:b/>
        </w:rPr>
        <w:t>DeMPA</w:t>
      </w:r>
      <w:proofErr w:type="spellEnd"/>
      <w:r w:rsidRPr="00F333F0">
        <w:rPr>
          <w:b/>
        </w:rPr>
        <w:t>)</w:t>
      </w:r>
      <w:r>
        <w:rPr>
          <w:b/>
        </w:rPr>
        <w:t xml:space="preserve">, </w:t>
      </w:r>
      <w:r w:rsidRPr="00F333F0">
        <w:t xml:space="preserve">considerando </w:t>
      </w:r>
      <w:r w:rsidRPr="00F333F0">
        <w:rPr>
          <w:sz w:val="23"/>
          <w:szCs w:val="23"/>
        </w:rPr>
        <w:t>d</w:t>
      </w:r>
      <w:r>
        <w:rPr>
          <w:sz w:val="23"/>
          <w:szCs w:val="23"/>
        </w:rPr>
        <w:t>iagnósticos de instituições financeiras internacionais.</w:t>
      </w:r>
    </w:p>
    <w:p w:rsidR="00A62DEA" w:rsidRDefault="00A62DEA" w:rsidP="00A62DEA">
      <w:pPr>
        <w:spacing w:after="240"/>
        <w:jc w:val="both"/>
        <w:rPr>
          <w:rFonts w:cs="Times-Roman"/>
          <w:szCs w:val="24"/>
        </w:rPr>
      </w:pPr>
      <w:r w:rsidRPr="00633BA6">
        <w:rPr>
          <w:rFonts w:cs="Times-Roman"/>
          <w:b/>
          <w:szCs w:val="24"/>
        </w:rPr>
        <w:t xml:space="preserve">Resultado </w:t>
      </w:r>
      <w:proofErr w:type="gramStart"/>
      <w:r>
        <w:rPr>
          <w:rFonts w:cs="Times-Roman"/>
          <w:b/>
          <w:szCs w:val="24"/>
        </w:rPr>
        <w:t>9</w:t>
      </w:r>
      <w:proofErr w:type="gramEnd"/>
      <w:r w:rsidRPr="00633BA6">
        <w:rPr>
          <w:rFonts w:cs="Times-Roman"/>
          <w:b/>
          <w:szCs w:val="24"/>
        </w:rPr>
        <w:t xml:space="preserve">. </w:t>
      </w:r>
      <w:r>
        <w:rPr>
          <w:b/>
          <w:szCs w:val="24"/>
        </w:rPr>
        <w:t>Melhoria</w:t>
      </w:r>
      <w:r w:rsidRPr="00181DC9">
        <w:rPr>
          <w:b/>
          <w:szCs w:val="24"/>
        </w:rPr>
        <w:t xml:space="preserve"> da posição no indicador </w:t>
      </w:r>
      <w:proofErr w:type="spellStart"/>
      <w:r w:rsidRPr="00894993">
        <w:rPr>
          <w:b/>
          <w:i/>
          <w:szCs w:val="24"/>
        </w:rPr>
        <w:t>Paying</w:t>
      </w:r>
      <w:proofErr w:type="spellEnd"/>
      <w:r w:rsidRPr="00894993">
        <w:rPr>
          <w:b/>
          <w:i/>
          <w:szCs w:val="24"/>
        </w:rPr>
        <w:t xml:space="preserve"> Taxes</w:t>
      </w:r>
      <w:r w:rsidRPr="00181DC9">
        <w:rPr>
          <w:b/>
          <w:szCs w:val="24"/>
        </w:rPr>
        <w:t xml:space="preserve"> do </w:t>
      </w:r>
      <w:proofErr w:type="spellStart"/>
      <w:r w:rsidRPr="00894993">
        <w:rPr>
          <w:b/>
          <w:i/>
          <w:szCs w:val="24"/>
        </w:rPr>
        <w:t>Doing</w:t>
      </w:r>
      <w:proofErr w:type="spellEnd"/>
      <w:r w:rsidRPr="00894993">
        <w:rPr>
          <w:b/>
          <w:i/>
          <w:szCs w:val="24"/>
        </w:rPr>
        <w:t xml:space="preserve"> Business</w:t>
      </w:r>
      <w:r>
        <w:rPr>
          <w:rStyle w:val="Refdenotaderodap"/>
          <w:rFonts w:cs="Times-Roman"/>
          <w:b/>
          <w:szCs w:val="24"/>
        </w:rPr>
        <w:t xml:space="preserve"> </w:t>
      </w:r>
      <w:r>
        <w:rPr>
          <w:rStyle w:val="Refdenotaderodap"/>
          <w:rFonts w:cs="Times-Roman"/>
          <w:b/>
          <w:szCs w:val="24"/>
        </w:rPr>
        <w:footnoteReference w:id="5"/>
      </w:r>
      <w:r>
        <w:rPr>
          <w:rFonts w:cs="Times-Roman"/>
          <w:b/>
          <w:szCs w:val="24"/>
        </w:rPr>
        <w:t xml:space="preserve"> </w:t>
      </w:r>
      <w:r w:rsidRPr="007F182C">
        <w:rPr>
          <w:rFonts w:cs="Times-Roman"/>
          <w:szCs w:val="24"/>
        </w:rPr>
        <w:t>em relação ao tempo e custo dispendidos para se iniciar um negócio (posição nº 167) e custo e tempo gastos para o pagament</w:t>
      </w:r>
      <w:r>
        <w:rPr>
          <w:rFonts w:cs="Times-Roman"/>
          <w:szCs w:val="24"/>
        </w:rPr>
        <w:t>o de tributos (posição nº 177).</w:t>
      </w:r>
    </w:p>
    <w:p w:rsidR="00A62DEA" w:rsidRPr="00411AA3" w:rsidRDefault="00A62DEA" w:rsidP="00A62DEA">
      <w:pPr>
        <w:pStyle w:val="Default"/>
        <w:spacing w:after="240"/>
        <w:jc w:val="both"/>
        <w:rPr>
          <w:rFonts w:ascii="Times New Roman" w:hAnsi="Times New Roman" w:cs="Times New Roman"/>
          <w:lang w:val="pt-BR"/>
        </w:rPr>
      </w:pPr>
      <w:r>
        <w:rPr>
          <w:rFonts w:ascii="Times New Roman" w:hAnsi="Times New Roman" w:cs="Times New Roman"/>
          <w:b/>
          <w:lang w:val="pt-BR"/>
        </w:rPr>
        <w:t>Resultado 10</w:t>
      </w:r>
      <w:r w:rsidRPr="00A7392E">
        <w:rPr>
          <w:rFonts w:ascii="Times New Roman" w:hAnsi="Times New Roman" w:cs="Times New Roman"/>
          <w:b/>
          <w:lang w:val="pt-BR"/>
        </w:rPr>
        <w:t>. Redução do tempo de tramitaç</w:t>
      </w:r>
      <w:r>
        <w:rPr>
          <w:rFonts w:ascii="Times New Roman" w:hAnsi="Times New Roman" w:cs="Times New Roman"/>
          <w:b/>
          <w:lang w:val="pt-BR"/>
        </w:rPr>
        <w:t>ão dos processos julgados pelo contencioso a</w:t>
      </w:r>
      <w:r w:rsidRPr="00A7392E">
        <w:rPr>
          <w:rFonts w:ascii="Times New Roman" w:hAnsi="Times New Roman" w:cs="Times New Roman"/>
          <w:b/>
          <w:lang w:val="pt-BR"/>
        </w:rPr>
        <w:t>dministrativo</w:t>
      </w:r>
      <w:r>
        <w:rPr>
          <w:rFonts w:ascii="Times New Roman" w:hAnsi="Times New Roman" w:cs="Times New Roman"/>
          <w:b/>
          <w:lang w:val="pt-BR"/>
        </w:rPr>
        <w:t xml:space="preserve"> fiscal</w:t>
      </w:r>
      <w:r w:rsidRPr="00A7392E">
        <w:rPr>
          <w:rFonts w:ascii="Times New Roman" w:hAnsi="Times New Roman" w:cs="Times New Roman"/>
          <w:b/>
          <w:lang w:val="pt-BR"/>
        </w:rPr>
        <w:t xml:space="preserve">, </w:t>
      </w:r>
      <w:r w:rsidRPr="00A7392E">
        <w:rPr>
          <w:rFonts w:ascii="Times New Roman" w:hAnsi="Times New Roman" w:cs="Times New Roman"/>
          <w:lang w:val="pt-BR"/>
        </w:rPr>
        <w:t>considerando o tempo médio entre o início da revisão administrativa até a decisão final do conselho</w:t>
      </w:r>
      <w:r>
        <w:rPr>
          <w:rFonts w:ascii="Times New Roman" w:hAnsi="Times New Roman" w:cs="Times New Roman"/>
          <w:lang w:val="pt-BR"/>
        </w:rPr>
        <w:t>.</w:t>
      </w:r>
    </w:p>
    <w:p w:rsidR="00A62DEA" w:rsidRDefault="00A62DEA" w:rsidP="00A62DEA">
      <w:pPr>
        <w:pStyle w:val="Default"/>
        <w:spacing w:after="240"/>
        <w:jc w:val="both"/>
        <w:rPr>
          <w:b/>
          <w:bCs/>
          <w:sz w:val="18"/>
          <w:szCs w:val="18"/>
          <w:lang w:val="pt-BR"/>
        </w:rPr>
      </w:pPr>
      <w:r>
        <w:rPr>
          <w:rFonts w:ascii="Times New Roman" w:hAnsi="Times New Roman" w:cs="Times New Roman"/>
          <w:b/>
          <w:lang w:val="pt-BR"/>
        </w:rPr>
        <w:t>Resultado 11</w:t>
      </w:r>
      <w:r w:rsidRPr="001A0DF4">
        <w:rPr>
          <w:rFonts w:ascii="Times New Roman" w:hAnsi="Times New Roman" w:cs="Times New Roman"/>
          <w:b/>
          <w:lang w:val="pt-BR"/>
        </w:rPr>
        <w:t xml:space="preserve">. </w:t>
      </w:r>
      <w:r w:rsidRPr="001A0DF4">
        <w:rPr>
          <w:rFonts w:ascii="Times New Roman" w:hAnsi="Times New Roman" w:cs="Times New Roman"/>
          <w:b/>
          <w:bCs/>
          <w:lang w:val="pt-BR"/>
        </w:rPr>
        <w:t>Aumento da satisfação dos contribuintes</w:t>
      </w:r>
      <w:r>
        <w:rPr>
          <w:rFonts w:ascii="Times New Roman" w:hAnsi="Times New Roman" w:cs="Times New Roman"/>
          <w:bCs/>
          <w:lang w:val="pt-BR"/>
        </w:rPr>
        <w:t xml:space="preserve">, priorizando </w:t>
      </w:r>
      <w:r w:rsidRPr="00C03180">
        <w:rPr>
          <w:rFonts w:ascii="Times New Roman" w:hAnsi="Times New Roman" w:cs="Times New Roman"/>
          <w:bCs/>
          <w:lang w:val="pt-BR"/>
        </w:rPr>
        <w:t>a r</w:t>
      </w:r>
      <w:r w:rsidRPr="001A0DF4">
        <w:rPr>
          <w:rFonts w:ascii="Times New Roman" w:hAnsi="Times New Roman" w:cs="Times New Roman"/>
          <w:bCs/>
          <w:lang w:val="pt-BR"/>
        </w:rPr>
        <w:t>edu</w:t>
      </w:r>
      <w:r w:rsidRPr="00C03180">
        <w:rPr>
          <w:rFonts w:ascii="Times New Roman" w:hAnsi="Times New Roman" w:cs="Times New Roman"/>
          <w:bCs/>
          <w:lang w:val="pt-BR"/>
        </w:rPr>
        <w:t>ção das obrigações acessórias</w:t>
      </w:r>
      <w:r>
        <w:rPr>
          <w:rFonts w:ascii="Times New Roman" w:hAnsi="Times New Roman" w:cs="Times New Roman"/>
          <w:bCs/>
          <w:lang w:val="pt-BR"/>
        </w:rPr>
        <w:t xml:space="preserve">, para o </w:t>
      </w:r>
      <w:r w:rsidRPr="00C03180">
        <w:rPr>
          <w:rFonts w:ascii="Times New Roman" w:hAnsi="Times New Roman" w:cs="Times New Roman"/>
          <w:bCs/>
          <w:lang w:val="pt-BR"/>
        </w:rPr>
        <w:t>fortalecimento da c</w:t>
      </w:r>
      <w:r w:rsidRPr="001A0DF4">
        <w:rPr>
          <w:rFonts w:ascii="Times New Roman" w:hAnsi="Times New Roman" w:cs="Times New Roman"/>
          <w:bCs/>
          <w:lang w:val="pt-BR"/>
        </w:rPr>
        <w:t xml:space="preserve">ooperação </w:t>
      </w:r>
      <w:r w:rsidRPr="00C03180">
        <w:rPr>
          <w:rFonts w:ascii="Times New Roman" w:hAnsi="Times New Roman" w:cs="Times New Roman"/>
          <w:bCs/>
          <w:lang w:val="pt-BR"/>
        </w:rPr>
        <w:t>e da confiança na relação fisco-s</w:t>
      </w:r>
      <w:r w:rsidRPr="001A0DF4">
        <w:rPr>
          <w:rFonts w:ascii="Times New Roman" w:hAnsi="Times New Roman" w:cs="Times New Roman"/>
          <w:bCs/>
          <w:lang w:val="pt-BR"/>
        </w:rPr>
        <w:t>ocieda</w:t>
      </w:r>
      <w:r w:rsidRPr="00C03180">
        <w:rPr>
          <w:rFonts w:ascii="Times New Roman" w:hAnsi="Times New Roman" w:cs="Times New Roman"/>
          <w:bCs/>
          <w:lang w:val="pt-BR"/>
        </w:rPr>
        <w:t>de</w:t>
      </w:r>
      <w:r>
        <w:rPr>
          <w:rFonts w:ascii="Times New Roman" w:hAnsi="Times New Roman" w:cs="Times New Roman"/>
          <w:bCs/>
          <w:lang w:val="pt-BR"/>
        </w:rPr>
        <w:t>.</w:t>
      </w:r>
    </w:p>
    <w:p w:rsidR="00A62DEA" w:rsidRPr="00A3524E" w:rsidRDefault="00A62DEA" w:rsidP="00A62DEA">
      <w:pPr>
        <w:pStyle w:val="Default"/>
        <w:rPr>
          <w:rFonts w:ascii="Times New Roman" w:hAnsi="Times New Roman" w:cs="Times New Roman"/>
          <w:lang w:val="pt-BR"/>
        </w:rPr>
      </w:pPr>
      <w:r w:rsidRPr="00A3524E">
        <w:rPr>
          <w:rFonts w:ascii="Times New Roman" w:hAnsi="Times New Roman" w:cs="Times New Roman"/>
          <w:b/>
          <w:lang w:val="pt-BR"/>
        </w:rPr>
        <w:t xml:space="preserve">Resultado 12. </w:t>
      </w:r>
      <w:r w:rsidRPr="00A3524E">
        <w:rPr>
          <w:rFonts w:ascii="Times New Roman" w:hAnsi="Times New Roman" w:cs="Times New Roman"/>
          <w:b/>
          <w:bCs/>
          <w:lang w:val="pt-BR"/>
        </w:rPr>
        <w:t xml:space="preserve">Incremento das ações de integração entre os fiscos, </w:t>
      </w:r>
      <w:r w:rsidRPr="00A3524E">
        <w:rPr>
          <w:rFonts w:ascii="Times New Roman" w:hAnsi="Times New Roman" w:cs="Times New Roman"/>
          <w:bCs/>
          <w:lang w:val="pt-BR"/>
        </w:rPr>
        <w:t>fortalecendo o</w:t>
      </w:r>
      <w:r w:rsidRPr="00A3524E">
        <w:rPr>
          <w:rFonts w:ascii="Times New Roman" w:hAnsi="Times New Roman" w:cs="Times New Roman"/>
          <w:b/>
          <w:bCs/>
          <w:lang w:val="pt-BR"/>
        </w:rPr>
        <w:t xml:space="preserve"> </w:t>
      </w:r>
      <w:r w:rsidRPr="00A3524E">
        <w:rPr>
          <w:rFonts w:ascii="Times New Roman" w:hAnsi="Times New Roman" w:cs="Times New Roman"/>
          <w:b/>
          <w:bCs/>
          <w:i/>
          <w:iCs/>
          <w:lang w:val="pt-BR"/>
        </w:rPr>
        <w:t>Instituto de Estudos Fiscais (IEF), como s</w:t>
      </w:r>
      <w:r w:rsidRPr="00A3524E">
        <w:rPr>
          <w:rFonts w:ascii="Times New Roman" w:hAnsi="Times New Roman" w:cs="Times New Roman"/>
          <w:lang w:val="pt-BR"/>
        </w:rPr>
        <w:t>uporte acadêmico de estudos para subsidiar a decisão acerca de temas críticos. (</w:t>
      </w:r>
      <w:proofErr w:type="spellStart"/>
      <w:r w:rsidRPr="00A3524E">
        <w:rPr>
          <w:rFonts w:ascii="Times New Roman" w:hAnsi="Times New Roman" w:cs="Times New Roman"/>
          <w:lang w:val="pt-BR"/>
        </w:rPr>
        <w:t>Ex</w:t>
      </w:r>
      <w:proofErr w:type="spellEnd"/>
      <w:r w:rsidRPr="00A3524E">
        <w:rPr>
          <w:rFonts w:ascii="Times New Roman" w:hAnsi="Times New Roman" w:cs="Times New Roman"/>
          <w:lang w:val="pt-BR"/>
        </w:rPr>
        <w:t>: substituição tributária, simples</w:t>
      </w:r>
      <w:proofErr w:type="gramStart"/>
      <w:r w:rsidRPr="00A3524E">
        <w:rPr>
          <w:rFonts w:ascii="Times New Roman" w:hAnsi="Times New Roman" w:cs="Times New Roman"/>
          <w:lang w:val="pt-BR"/>
        </w:rPr>
        <w:t>)</w:t>
      </w:r>
      <w:proofErr w:type="gramEnd"/>
      <w:r w:rsidRPr="00A3524E">
        <w:rPr>
          <w:rStyle w:val="Refdenotaderodap"/>
          <w:lang w:val="pt-BR"/>
        </w:rPr>
        <w:footnoteReference w:id="6"/>
      </w:r>
      <w:r w:rsidRPr="00A3524E">
        <w:rPr>
          <w:rFonts w:ascii="Times New Roman" w:hAnsi="Times New Roman" w:cs="Times New Roman"/>
          <w:b/>
          <w:bCs/>
          <w:i/>
          <w:iCs/>
          <w:lang w:val="pt-BR"/>
        </w:rPr>
        <w:t xml:space="preserve"> </w:t>
      </w:r>
      <w:r w:rsidRPr="00A3524E">
        <w:rPr>
          <w:rFonts w:ascii="Times New Roman" w:hAnsi="Times New Roman" w:cs="Times New Roman"/>
          <w:bCs/>
          <w:iCs/>
          <w:lang w:val="pt-BR"/>
        </w:rPr>
        <w:t>e os</w:t>
      </w:r>
      <w:r w:rsidRPr="00A3524E">
        <w:rPr>
          <w:rFonts w:ascii="Times New Roman" w:hAnsi="Times New Roman" w:cs="Times New Roman"/>
          <w:b/>
          <w:bCs/>
          <w:i/>
          <w:iCs/>
          <w:lang w:val="pt-BR"/>
        </w:rPr>
        <w:t xml:space="preserve"> </w:t>
      </w:r>
      <w:r w:rsidRPr="00A3524E">
        <w:rPr>
          <w:rFonts w:ascii="Times New Roman" w:hAnsi="Times New Roman" w:cs="Times New Roman"/>
          <w:lang w:val="pt-BR"/>
        </w:rPr>
        <w:t>espaços de cooperação e integração dos fiscos.</w:t>
      </w:r>
    </w:p>
    <w:p w:rsidR="00A62DEA" w:rsidRDefault="00A62DEA" w:rsidP="00A62DEA">
      <w:pPr>
        <w:pStyle w:val="Default"/>
        <w:rPr>
          <w:rFonts w:ascii="Times New Roman" w:hAnsi="Times New Roman" w:cs="Times New Roman"/>
          <w:lang w:val="pt-BR"/>
        </w:rPr>
      </w:pPr>
      <w:r w:rsidRPr="00A3524E">
        <w:rPr>
          <w:rFonts w:ascii="Times New Roman" w:hAnsi="Times New Roman" w:cs="Times New Roman"/>
          <w:b/>
          <w:lang w:val="pt-BR"/>
        </w:rPr>
        <w:t xml:space="preserve">Resultado 13. </w:t>
      </w:r>
      <w:r w:rsidRPr="00A3524E">
        <w:rPr>
          <w:rFonts w:ascii="Times New Roman" w:hAnsi="Times New Roman" w:cs="Times New Roman"/>
          <w:b/>
          <w:bCs/>
          <w:lang w:val="pt-BR"/>
        </w:rPr>
        <w:t>Melhoria da gestão dos sistemas nacionais</w:t>
      </w:r>
      <w:r w:rsidRPr="00A3524E">
        <w:rPr>
          <w:rFonts w:ascii="Times New Roman" w:hAnsi="Times New Roman" w:cs="Times New Roman"/>
          <w:bCs/>
          <w:i/>
          <w:lang w:val="pt-BR"/>
        </w:rPr>
        <w:t xml:space="preserve">, </w:t>
      </w:r>
      <w:r w:rsidRPr="00A3524E">
        <w:rPr>
          <w:rFonts w:ascii="Times New Roman" w:hAnsi="Times New Roman" w:cs="Times New Roman"/>
          <w:bCs/>
          <w:lang w:val="pt-BR"/>
        </w:rPr>
        <w:t>instalando a</w:t>
      </w:r>
      <w:r w:rsidRPr="00A3524E">
        <w:rPr>
          <w:rFonts w:ascii="Times New Roman" w:hAnsi="Times New Roman" w:cs="Times New Roman"/>
          <w:bCs/>
          <w:i/>
          <w:lang w:val="pt-BR"/>
        </w:rPr>
        <w:t xml:space="preserve"> </w:t>
      </w:r>
      <w:r w:rsidRPr="00A3524E">
        <w:rPr>
          <w:rFonts w:ascii="Times New Roman" w:hAnsi="Times New Roman" w:cs="Times New Roman"/>
          <w:lang w:val="pt-BR"/>
        </w:rPr>
        <w:t>SEFAZ Nacional, com adesão e cota parte dos estados, para garantir a integração de informações e sistemas (SPED) para compartilhamento entre os Estados, uma vez que o ICMS é um imposto estadual de aplicação nacional</w:t>
      </w:r>
      <w:r w:rsidRPr="00A3524E">
        <w:rPr>
          <w:rStyle w:val="Refdenotaderodap"/>
          <w:lang w:val="pt-BR"/>
        </w:rPr>
        <w:footnoteReference w:id="7"/>
      </w:r>
      <w:r>
        <w:rPr>
          <w:rFonts w:ascii="Times New Roman" w:hAnsi="Times New Roman" w:cs="Times New Roman"/>
          <w:lang w:val="pt-BR"/>
        </w:rPr>
        <w:t>.</w:t>
      </w:r>
    </w:p>
    <w:p w:rsidR="00EF427B" w:rsidRDefault="00EF427B">
      <w:pPr>
        <w:rPr>
          <w:szCs w:val="24"/>
        </w:rPr>
      </w:pPr>
    </w:p>
    <w:p w:rsidR="00B4560A" w:rsidRDefault="00B4560A">
      <w:pPr>
        <w:rPr>
          <w:szCs w:val="24"/>
        </w:rPr>
      </w:pPr>
    </w:p>
    <w:p w:rsidR="00B4560A" w:rsidRDefault="00B4560A"/>
    <w:sectPr w:rsidR="00B4560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Celia Maria Silva Carvalho" w:date="2014-11-27T09:09:00Z" w:initials="CMSC">
    <w:p w:rsidR="00EF427B" w:rsidRDefault="00EF427B" w:rsidP="00EF427B">
      <w:pPr>
        <w:pStyle w:val="Textodecomentrio"/>
      </w:pPr>
      <w:r>
        <w:rPr>
          <w:rStyle w:val="Refdecomentrio"/>
        </w:rPr>
        <w:annotationRef/>
      </w:r>
      <w:r>
        <w:t>Integração das Secretarias de Fazenda. Não entendi integração dos fiscos</w:t>
      </w:r>
      <w:proofErr w:type="gramStart"/>
      <w:r>
        <w:t>???</w:t>
      </w:r>
      <w:proofErr w:type="gramEnd"/>
    </w:p>
  </w:comment>
  <w:comment w:id="6" w:author="Celia Maria Silva Carvalho" w:date="2014-11-27T09:10:00Z" w:initials="CMSC">
    <w:p w:rsidR="00EF427B" w:rsidRDefault="00EF427B" w:rsidP="00EF427B">
      <w:pPr>
        <w:pStyle w:val="Textodecomentrio"/>
      </w:pPr>
      <w:r>
        <w:rPr>
          <w:rStyle w:val="Refdecomentrio"/>
        </w:rPr>
        <w:annotationRef/>
      </w:r>
      <w:r>
        <w:t xml:space="preserve">Repito a citação anterior. Aqui gostaria de destacar que a troca de informações sobre os Sistemas de Administração Financeira, bem como sua cessão é parte integrante das atividades do GEFIN – grupo de assessoramento fiscal e financeiro ao CONFAZ.  </w:t>
      </w:r>
    </w:p>
  </w:comment>
  <w:comment w:id="8" w:author="Celia Maria Silva Carvalho" w:date="2014-11-27T09:10:00Z" w:initials="CMSC">
    <w:p w:rsidR="00EF427B" w:rsidRDefault="00EF427B" w:rsidP="00EF427B">
      <w:pPr>
        <w:pStyle w:val="Textodecomentrio"/>
      </w:pPr>
      <w:r>
        <w:rPr>
          <w:rStyle w:val="Refdecomentrio"/>
        </w:rPr>
        <w:annotationRef/>
      </w:r>
      <w:r>
        <w:t>Acho que aqui não é integração</w:t>
      </w:r>
      <w:proofErr w:type="gramStart"/>
      <w:r>
        <w:t xml:space="preserve"> mas</w:t>
      </w:r>
      <w:proofErr w:type="gramEnd"/>
      <w:r>
        <w:t xml:space="preserve"> sim desenvolvimento de estudos com recursos da PRODEV.</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50" w:rsidRDefault="00B93950" w:rsidP="00B4560A">
      <w:pPr>
        <w:spacing w:after="0" w:line="240" w:lineRule="auto"/>
      </w:pPr>
      <w:r>
        <w:separator/>
      </w:r>
    </w:p>
  </w:endnote>
  <w:endnote w:type="continuationSeparator" w:id="0">
    <w:p w:rsidR="00B93950" w:rsidRDefault="00B93950" w:rsidP="00B4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50" w:rsidRDefault="00B93950" w:rsidP="00B4560A">
      <w:pPr>
        <w:spacing w:after="0" w:line="240" w:lineRule="auto"/>
      </w:pPr>
      <w:r>
        <w:separator/>
      </w:r>
    </w:p>
  </w:footnote>
  <w:footnote w:type="continuationSeparator" w:id="0">
    <w:p w:rsidR="00B93950" w:rsidRDefault="00B93950" w:rsidP="00B4560A">
      <w:pPr>
        <w:spacing w:after="0" w:line="240" w:lineRule="auto"/>
      </w:pPr>
      <w:r>
        <w:continuationSeparator/>
      </w:r>
    </w:p>
  </w:footnote>
  <w:footnote w:id="1">
    <w:p w:rsidR="00B4560A" w:rsidRPr="00E92EEB" w:rsidRDefault="00B4560A" w:rsidP="00B4560A">
      <w:pPr>
        <w:pStyle w:val="Default"/>
        <w:jc w:val="both"/>
        <w:rPr>
          <w:rFonts w:ascii="Times New Roman" w:hAnsi="Times New Roman" w:cs="Times New Roman"/>
          <w:sz w:val="16"/>
          <w:szCs w:val="16"/>
          <w:lang w:val="pt-BR"/>
        </w:rPr>
      </w:pPr>
      <w:r w:rsidRPr="005B6251">
        <w:rPr>
          <w:rStyle w:val="Refdenotaderodap"/>
          <w:rFonts w:ascii="Times New Roman" w:hAnsi="Times New Roman" w:cs="Times New Roman"/>
          <w:sz w:val="16"/>
          <w:szCs w:val="16"/>
        </w:rPr>
        <w:footnoteRef/>
      </w:r>
      <w:r w:rsidRPr="00E92EEB">
        <w:rPr>
          <w:rFonts w:ascii="Times New Roman" w:hAnsi="Times New Roman" w:cs="Times New Roman"/>
          <w:lang w:val="pt-BR"/>
        </w:rPr>
        <w:t xml:space="preserve"> </w:t>
      </w:r>
      <w:r w:rsidRPr="00E92EEB">
        <w:rPr>
          <w:rFonts w:ascii="Times New Roman" w:hAnsi="Times New Roman" w:cs="Times New Roman"/>
          <w:sz w:val="16"/>
          <w:szCs w:val="16"/>
          <w:lang w:val="pt-BR"/>
        </w:rPr>
        <w:t>Dados de 2002: AC, AL, AP, CE, ES, MG, MT, MS, PB, PA, PR, PE, PI, RJ, RS, RR, SP e TO.</w:t>
      </w:r>
    </w:p>
  </w:footnote>
  <w:footnote w:id="2">
    <w:p w:rsidR="00EF427B" w:rsidRPr="005B6251" w:rsidRDefault="00EF427B" w:rsidP="00EF427B">
      <w:pPr>
        <w:pStyle w:val="Default"/>
        <w:jc w:val="both"/>
        <w:rPr>
          <w:rFonts w:ascii="Times New Roman" w:hAnsi="Times New Roman" w:cs="Times New Roman"/>
          <w:sz w:val="16"/>
          <w:szCs w:val="16"/>
          <w:lang w:val="pt-BR"/>
        </w:rPr>
      </w:pPr>
      <w:r w:rsidRPr="005B6251">
        <w:rPr>
          <w:rStyle w:val="Refdenotaderodap"/>
          <w:sz w:val="16"/>
          <w:szCs w:val="16"/>
        </w:rPr>
        <w:footnoteRef/>
      </w:r>
      <w:r w:rsidRPr="005B6251">
        <w:rPr>
          <w:rFonts w:ascii="Times New Roman" w:hAnsi="Times New Roman" w:cs="Times New Roman"/>
          <w:sz w:val="16"/>
          <w:szCs w:val="16"/>
          <w:lang w:val="pt-BR"/>
        </w:rPr>
        <w:t xml:space="preserve"> </w:t>
      </w:r>
      <w:r>
        <w:rPr>
          <w:rFonts w:ascii="Times New Roman" w:hAnsi="Times New Roman" w:cs="Times New Roman"/>
          <w:sz w:val="16"/>
          <w:szCs w:val="16"/>
          <w:lang w:val="pt-BR"/>
        </w:rPr>
        <w:t>Os</w:t>
      </w:r>
      <w:r w:rsidRPr="005B6251">
        <w:rPr>
          <w:rFonts w:ascii="Times New Roman" w:hAnsi="Times New Roman" w:cs="Times New Roman"/>
          <w:sz w:val="16"/>
          <w:szCs w:val="16"/>
          <w:lang w:val="pt-BR"/>
        </w:rPr>
        <w:t xml:space="preserve"> dados do Relatório de Avaliação Intermediária II dos projetos do PROFISCO estão atualizados até 31 de julho de 2014.</w:t>
      </w:r>
    </w:p>
  </w:footnote>
  <w:footnote w:id="3">
    <w:p w:rsidR="00EF427B" w:rsidRPr="005B6251" w:rsidRDefault="00EF427B" w:rsidP="00EF427B">
      <w:pPr>
        <w:pStyle w:val="Default"/>
        <w:jc w:val="both"/>
        <w:rPr>
          <w:rFonts w:ascii="Times New Roman" w:hAnsi="Times New Roman" w:cs="Times New Roman"/>
          <w:sz w:val="16"/>
          <w:szCs w:val="16"/>
          <w:lang w:val="pt-BR"/>
        </w:rPr>
      </w:pPr>
      <w:r w:rsidRPr="005B6251">
        <w:rPr>
          <w:rFonts w:ascii="Times New Roman" w:hAnsi="Times New Roman" w:cs="Times New Roman"/>
          <w:sz w:val="16"/>
          <w:szCs w:val="16"/>
          <w:lang w:val="pt-BR"/>
        </w:rPr>
        <w:footnoteRef/>
      </w:r>
      <w:r w:rsidRPr="00AD5C19">
        <w:rPr>
          <w:rFonts w:ascii="Times New Roman" w:hAnsi="Times New Roman" w:cs="Times New Roman"/>
          <w:sz w:val="16"/>
          <w:szCs w:val="16"/>
          <w:lang w:val="pt-BR"/>
        </w:rPr>
        <w:t xml:space="preserve"> </w:t>
      </w:r>
      <w:r w:rsidRPr="005B6251">
        <w:rPr>
          <w:rFonts w:ascii="Times New Roman" w:hAnsi="Times New Roman" w:cs="Times New Roman"/>
          <w:sz w:val="16"/>
          <w:szCs w:val="16"/>
          <w:lang w:val="pt-BR"/>
        </w:rPr>
        <w:t xml:space="preserve">Os relatórios técnicos destas soluções integram a documentação da CT BR-T1145 </w:t>
      </w:r>
      <w:r>
        <w:rPr>
          <w:rFonts w:ascii="Times New Roman" w:hAnsi="Times New Roman" w:cs="Times New Roman"/>
          <w:sz w:val="16"/>
          <w:szCs w:val="16"/>
          <w:lang w:val="pt-BR"/>
        </w:rPr>
        <w:t xml:space="preserve">do BID </w:t>
      </w:r>
      <w:r w:rsidRPr="005B6251">
        <w:rPr>
          <w:rFonts w:ascii="Times New Roman" w:hAnsi="Times New Roman" w:cs="Times New Roman"/>
          <w:sz w:val="16"/>
          <w:szCs w:val="16"/>
          <w:lang w:val="pt-BR"/>
        </w:rPr>
        <w:t xml:space="preserve">apoiada pelo </w:t>
      </w:r>
      <w:r>
        <w:rPr>
          <w:rFonts w:ascii="Times New Roman" w:hAnsi="Times New Roman" w:cs="Times New Roman"/>
          <w:sz w:val="16"/>
          <w:szCs w:val="16"/>
          <w:lang w:val="pt-BR"/>
        </w:rPr>
        <w:t xml:space="preserve">Projeto </w:t>
      </w:r>
      <w:r w:rsidRPr="005B6251">
        <w:rPr>
          <w:rFonts w:ascii="Times New Roman" w:hAnsi="Times New Roman" w:cs="Times New Roman"/>
          <w:sz w:val="16"/>
          <w:szCs w:val="16"/>
          <w:lang w:val="pt-BR"/>
        </w:rPr>
        <w:t>PRODEV-COGEF.</w:t>
      </w:r>
    </w:p>
  </w:footnote>
  <w:footnote w:id="4">
    <w:p w:rsidR="00A62DEA" w:rsidRPr="007F408E" w:rsidRDefault="00A62DEA" w:rsidP="00A62DEA">
      <w:pPr>
        <w:pStyle w:val="Default"/>
        <w:jc w:val="both"/>
        <w:rPr>
          <w:rFonts w:ascii="Times New Roman" w:hAnsi="Times New Roman" w:cs="Times New Roman"/>
          <w:sz w:val="16"/>
          <w:szCs w:val="16"/>
          <w:lang w:val="pt-BR"/>
        </w:rPr>
      </w:pPr>
      <w:r w:rsidRPr="007F408E">
        <w:rPr>
          <w:rStyle w:val="Refdenotaderodap"/>
          <w:sz w:val="16"/>
          <w:szCs w:val="16"/>
        </w:rPr>
        <w:footnoteRef/>
      </w:r>
      <w:r w:rsidRPr="007F408E">
        <w:rPr>
          <w:rFonts w:ascii="Times New Roman" w:hAnsi="Times New Roman" w:cs="Times New Roman"/>
          <w:sz w:val="16"/>
          <w:szCs w:val="16"/>
          <w:lang w:val="pt-BR"/>
        </w:rPr>
        <w:t xml:space="preserve"> Em uma escala do TCU de 0 a 10, no Brasil, a instituição de mais alto nível de maturidade é o Banco Central, com </w:t>
      </w:r>
      <w:proofErr w:type="gramStart"/>
      <w:r w:rsidRPr="007F408E">
        <w:rPr>
          <w:rFonts w:ascii="Times New Roman" w:hAnsi="Times New Roman" w:cs="Times New Roman"/>
          <w:sz w:val="16"/>
          <w:szCs w:val="16"/>
          <w:lang w:val="pt-BR"/>
        </w:rPr>
        <w:t>8,0</w:t>
      </w:r>
      <w:proofErr w:type="gramEnd"/>
    </w:p>
  </w:footnote>
  <w:footnote w:id="5">
    <w:p w:rsidR="00A62DEA" w:rsidRPr="00D91FDB" w:rsidRDefault="00A62DEA" w:rsidP="00A62DEA">
      <w:pPr>
        <w:pStyle w:val="Default"/>
        <w:jc w:val="both"/>
        <w:rPr>
          <w:rFonts w:ascii="Times New Roman" w:hAnsi="Times New Roman" w:cs="Times New Roman"/>
          <w:sz w:val="16"/>
          <w:szCs w:val="16"/>
          <w:lang w:val="pt-BR"/>
        </w:rPr>
      </w:pPr>
      <w:r w:rsidRPr="00D91FDB">
        <w:rPr>
          <w:rStyle w:val="Refdenotaderodap"/>
          <w:sz w:val="16"/>
          <w:szCs w:val="16"/>
        </w:rPr>
        <w:footnoteRef/>
      </w:r>
      <w:r w:rsidRPr="00987FA9">
        <w:rPr>
          <w:rFonts w:ascii="Times New Roman" w:hAnsi="Times New Roman" w:cs="Times New Roman"/>
          <w:sz w:val="16"/>
          <w:szCs w:val="16"/>
          <w:lang w:val="pt-BR"/>
        </w:rPr>
        <w:t xml:space="preserve"> </w:t>
      </w:r>
      <w:hyperlink r:id="rId1" w:history="1">
        <w:r w:rsidRPr="00987FA9">
          <w:rPr>
            <w:rStyle w:val="Hyperlink"/>
            <w:rFonts w:ascii="Times New Roman" w:hAnsi="Times New Roman" w:cs="Times New Roman"/>
            <w:b/>
            <w:sz w:val="16"/>
            <w:szCs w:val="16"/>
            <w:lang w:val="pt-BR"/>
          </w:rPr>
          <w:t>http://www.doingbusiness.org</w:t>
        </w:r>
      </w:hyperlink>
    </w:p>
  </w:footnote>
  <w:footnote w:id="6">
    <w:p w:rsidR="00A62DEA" w:rsidRPr="00A3524E" w:rsidRDefault="00A62DEA" w:rsidP="00A62DEA">
      <w:pPr>
        <w:pStyle w:val="Textodenotaderodap"/>
        <w:spacing w:after="0"/>
        <w:rPr>
          <w:sz w:val="16"/>
          <w:szCs w:val="16"/>
          <w:lang w:val="pt-BR"/>
        </w:rPr>
      </w:pPr>
      <w:r w:rsidRPr="00A3524E">
        <w:rPr>
          <w:rStyle w:val="Refdenotaderodap"/>
          <w:sz w:val="16"/>
          <w:szCs w:val="16"/>
        </w:rPr>
        <w:footnoteRef/>
      </w:r>
      <w:r w:rsidRPr="00A3524E">
        <w:rPr>
          <w:sz w:val="16"/>
          <w:szCs w:val="16"/>
          <w:lang w:val="pt-BR"/>
        </w:rPr>
        <w:t xml:space="preserve"> Depoimento do Co</w:t>
      </w:r>
      <w:r>
        <w:rPr>
          <w:sz w:val="16"/>
          <w:szCs w:val="16"/>
          <w:lang w:val="pt-BR"/>
        </w:rPr>
        <w:t>o</w:t>
      </w:r>
      <w:r w:rsidRPr="00A3524E">
        <w:rPr>
          <w:sz w:val="16"/>
          <w:szCs w:val="16"/>
          <w:lang w:val="pt-BR"/>
        </w:rPr>
        <w:t xml:space="preserve">rdenador do CONFAZ e Secretário do PA, no workshop de gestão </w:t>
      </w:r>
      <w:proofErr w:type="gramStart"/>
      <w:r w:rsidRPr="00A3524E">
        <w:rPr>
          <w:sz w:val="16"/>
          <w:szCs w:val="16"/>
          <w:lang w:val="pt-BR"/>
        </w:rPr>
        <w:t>fazendária</w:t>
      </w:r>
      <w:proofErr w:type="gramEnd"/>
    </w:p>
  </w:footnote>
  <w:footnote w:id="7">
    <w:p w:rsidR="00A62DEA" w:rsidRPr="00A3524E" w:rsidRDefault="00A62DEA" w:rsidP="00A62DEA">
      <w:pPr>
        <w:pStyle w:val="Textodenotaderodap"/>
        <w:rPr>
          <w:lang w:val="pt-BR"/>
        </w:rPr>
      </w:pPr>
      <w:r>
        <w:rPr>
          <w:rStyle w:val="Refdenotaderodap"/>
        </w:rPr>
        <w:footnoteRef/>
      </w:r>
      <w:r w:rsidRPr="00A3524E">
        <w:rPr>
          <w:lang w:val="pt-BR"/>
        </w:rPr>
        <w:t xml:space="preserve"> </w:t>
      </w:r>
      <w:r w:rsidRPr="00A3524E">
        <w:rPr>
          <w:sz w:val="16"/>
          <w:szCs w:val="16"/>
          <w:lang w:val="pt-BR"/>
        </w:rPr>
        <w:t>Depoimento do Co</w:t>
      </w:r>
      <w:r>
        <w:rPr>
          <w:sz w:val="16"/>
          <w:szCs w:val="16"/>
          <w:lang w:val="pt-BR"/>
        </w:rPr>
        <w:t>o</w:t>
      </w:r>
      <w:r w:rsidRPr="00A3524E">
        <w:rPr>
          <w:sz w:val="16"/>
          <w:szCs w:val="16"/>
          <w:lang w:val="pt-BR"/>
        </w:rPr>
        <w:t xml:space="preserve">rdenador do CONFAZ e Secretário do PA, no workshop de gestão </w:t>
      </w:r>
      <w:proofErr w:type="gramStart"/>
      <w:r w:rsidRPr="00A3524E">
        <w:rPr>
          <w:sz w:val="16"/>
          <w:szCs w:val="16"/>
          <w:lang w:val="pt-BR"/>
        </w:rPr>
        <w:t>fazendária</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7FC9"/>
    <w:multiLevelType w:val="multilevel"/>
    <w:tmpl w:val="A5A4F392"/>
    <w:lvl w:ilvl="0">
      <w:start w:val="1"/>
      <w:numFmt w:val="upperRoman"/>
      <w:pStyle w:val="Chapter"/>
      <w:lvlText w:val="%1."/>
      <w:lvlJc w:val="center"/>
      <w:pPr>
        <w:tabs>
          <w:tab w:val="num" w:pos="648"/>
        </w:tabs>
        <w:ind w:left="0" w:firstLine="288"/>
      </w:pPr>
      <w:rPr>
        <w:rFonts w:hint="default"/>
        <w:b/>
        <w:i w:val="0"/>
      </w:rPr>
    </w:lvl>
    <w:lvl w:ilvl="1">
      <w:start w:val="1"/>
      <w:numFmt w:val="decimal"/>
      <w:pStyle w:val="Paragraph"/>
      <w:isLgl/>
      <w:lvlText w:val="%1.%2"/>
      <w:lvlJc w:val="left"/>
      <w:pPr>
        <w:tabs>
          <w:tab w:val="num" w:pos="810"/>
        </w:tabs>
        <w:ind w:left="810" w:hanging="720"/>
      </w:pPr>
      <w:rPr>
        <w:rFonts w:ascii="Times New Roman" w:hAnsi="Times New Roman" w:hint="default"/>
        <w:sz w:val="24"/>
      </w:rPr>
    </w:lvl>
    <w:lvl w:ilvl="2">
      <w:start w:val="1"/>
      <w:numFmt w:val="lowerLetter"/>
      <w:pStyle w:val="subpar"/>
      <w:lvlText w:val="%3."/>
      <w:lvlJc w:val="left"/>
      <w:pPr>
        <w:tabs>
          <w:tab w:val="num" w:pos="1152"/>
        </w:tabs>
        <w:ind w:left="1152" w:hanging="432"/>
      </w:pPr>
      <w:rPr>
        <w:rFonts w:hint="default"/>
        <w:sz w:val="24"/>
        <w:szCs w:val="24"/>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
    <w:nsid w:val="5CA33540"/>
    <w:multiLevelType w:val="hybridMultilevel"/>
    <w:tmpl w:val="21203946"/>
    <w:lvl w:ilvl="0" w:tplc="04160019">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0A"/>
    <w:rsid w:val="00176FEB"/>
    <w:rsid w:val="004A2447"/>
    <w:rsid w:val="0086120C"/>
    <w:rsid w:val="00867E24"/>
    <w:rsid w:val="00A62DEA"/>
    <w:rsid w:val="00B4560A"/>
    <w:rsid w:val="00B93950"/>
    <w:rsid w:val="00C53531"/>
    <w:rsid w:val="00EF42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pter">
    <w:name w:val="Chapter"/>
    <w:basedOn w:val="Normal"/>
    <w:next w:val="Normal"/>
    <w:autoRedefine/>
    <w:rsid w:val="00B4560A"/>
    <w:pPr>
      <w:widowControl w:val="0"/>
      <w:numPr>
        <w:numId w:val="1"/>
      </w:numPr>
      <w:tabs>
        <w:tab w:val="left" w:pos="1440"/>
      </w:tabs>
      <w:spacing w:before="120" w:after="120" w:line="240" w:lineRule="auto"/>
      <w:ind w:firstLine="90"/>
      <w:jc w:val="both"/>
    </w:pPr>
    <w:rPr>
      <w:rFonts w:ascii="Times New Roman" w:eastAsia="Times New Roman" w:hAnsi="Times New Roman" w:cs="Times New Roman"/>
      <w:b/>
      <w:bCs/>
      <w:smallCaps/>
      <w:sz w:val="24"/>
      <w:szCs w:val="20"/>
    </w:rPr>
  </w:style>
  <w:style w:type="paragraph" w:customStyle="1" w:styleId="Paragraph">
    <w:name w:val="Paragraph"/>
    <w:basedOn w:val="Recuodecorpodetexto"/>
    <w:link w:val="ParagraphChar"/>
    <w:rsid w:val="00B4560A"/>
    <w:pPr>
      <w:numPr>
        <w:ilvl w:val="1"/>
        <w:numId w:val="1"/>
      </w:numPr>
      <w:spacing w:before="120" w:line="240" w:lineRule="auto"/>
      <w:jc w:val="both"/>
      <w:outlineLvl w:val="1"/>
    </w:pPr>
    <w:rPr>
      <w:rFonts w:ascii="Times New Roman" w:eastAsia="Times New Roman" w:hAnsi="Times New Roman" w:cs="Times New Roman"/>
      <w:sz w:val="24"/>
      <w:szCs w:val="20"/>
      <w:lang w:val="es-ES_tradnl"/>
    </w:rPr>
  </w:style>
  <w:style w:type="paragraph" w:customStyle="1" w:styleId="subpar">
    <w:name w:val="subpar"/>
    <w:basedOn w:val="Recuodecorpodetexto3"/>
    <w:rsid w:val="00B4560A"/>
    <w:pPr>
      <w:numPr>
        <w:ilvl w:val="2"/>
        <w:numId w:val="1"/>
      </w:numPr>
      <w:spacing w:before="120" w:line="240" w:lineRule="auto"/>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B4560A"/>
    <w:pPr>
      <w:numPr>
        <w:ilvl w:val="3"/>
      </w:numPr>
      <w:tabs>
        <w:tab w:val="clear" w:pos="1584"/>
        <w:tab w:val="left" w:pos="0"/>
        <w:tab w:val="num" w:pos="360"/>
      </w:tabs>
    </w:pPr>
  </w:style>
  <w:style w:type="character" w:customStyle="1" w:styleId="ParagraphChar">
    <w:name w:val="Paragraph Char"/>
    <w:basedOn w:val="Fontepargpadro"/>
    <w:link w:val="Paragraph"/>
    <w:rsid w:val="00B4560A"/>
    <w:rPr>
      <w:rFonts w:ascii="Times New Roman" w:eastAsia="Times New Roman" w:hAnsi="Times New Roman" w:cs="Times New Roman"/>
      <w:sz w:val="24"/>
      <w:szCs w:val="20"/>
      <w:lang w:val="es-ES_tradnl"/>
    </w:rPr>
  </w:style>
  <w:style w:type="paragraph" w:styleId="Recuodecorpodetexto">
    <w:name w:val="Body Text Indent"/>
    <w:basedOn w:val="Normal"/>
    <w:link w:val="RecuodecorpodetextoChar"/>
    <w:uiPriority w:val="99"/>
    <w:semiHidden/>
    <w:unhideWhenUsed/>
    <w:rsid w:val="00B4560A"/>
    <w:pPr>
      <w:spacing w:after="120"/>
      <w:ind w:left="283"/>
    </w:pPr>
  </w:style>
  <w:style w:type="character" w:customStyle="1" w:styleId="RecuodecorpodetextoChar">
    <w:name w:val="Recuo de corpo de texto Char"/>
    <w:basedOn w:val="Fontepargpadro"/>
    <w:link w:val="Recuodecorpodetexto"/>
    <w:uiPriority w:val="99"/>
    <w:semiHidden/>
    <w:rsid w:val="00B4560A"/>
  </w:style>
  <w:style w:type="paragraph" w:styleId="Recuodecorpodetexto3">
    <w:name w:val="Body Text Indent 3"/>
    <w:basedOn w:val="Normal"/>
    <w:link w:val="Recuodecorpodetexto3Char"/>
    <w:uiPriority w:val="99"/>
    <w:semiHidden/>
    <w:unhideWhenUsed/>
    <w:rsid w:val="00B4560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4560A"/>
    <w:rPr>
      <w:sz w:val="16"/>
      <w:szCs w:val="16"/>
    </w:rPr>
  </w:style>
  <w:style w:type="paragraph" w:customStyle="1" w:styleId="Newpage">
    <w:name w:val="Newpage"/>
    <w:basedOn w:val="Chapter"/>
    <w:rsid w:val="00B4560A"/>
    <w:pPr>
      <w:numPr>
        <w:numId w:val="0"/>
      </w:numPr>
      <w:tabs>
        <w:tab w:val="left" w:pos="3060"/>
      </w:tabs>
      <w:spacing w:after="0"/>
    </w:pPr>
  </w:style>
  <w:style w:type="paragraph" w:customStyle="1" w:styleId="Default">
    <w:name w:val="Default"/>
    <w:rsid w:val="00B4560A"/>
    <w:pPr>
      <w:autoSpaceDE w:val="0"/>
      <w:autoSpaceDN w:val="0"/>
      <w:adjustRightInd w:val="0"/>
      <w:spacing w:after="0" w:line="240" w:lineRule="auto"/>
    </w:pPr>
    <w:rPr>
      <w:rFonts w:ascii="Calibri" w:hAnsi="Calibri" w:cs="Calibri"/>
      <w:color w:val="000000"/>
      <w:sz w:val="24"/>
      <w:szCs w:val="24"/>
      <w:lang w:val="en-US"/>
    </w:rPr>
  </w:style>
  <w:style w:type="character" w:styleId="Refdenotaderodap">
    <w:name w:val="footnote reference"/>
    <w:aliases w:val="FC,ftref,referencia nota al pie"/>
    <w:rsid w:val="00B4560A"/>
    <w:rPr>
      <w:vertAlign w:val="superscript"/>
    </w:rPr>
  </w:style>
  <w:style w:type="character" w:styleId="Refdecomentrio">
    <w:name w:val="annotation reference"/>
    <w:basedOn w:val="Fontepargpadro"/>
    <w:uiPriority w:val="99"/>
    <w:semiHidden/>
    <w:unhideWhenUsed/>
    <w:rsid w:val="00EF427B"/>
    <w:rPr>
      <w:sz w:val="16"/>
      <w:szCs w:val="16"/>
    </w:rPr>
  </w:style>
  <w:style w:type="paragraph" w:styleId="Textodecomentrio">
    <w:name w:val="annotation text"/>
    <w:basedOn w:val="Normal"/>
    <w:link w:val="TextodecomentrioChar"/>
    <w:uiPriority w:val="99"/>
    <w:semiHidden/>
    <w:unhideWhenUsed/>
    <w:rsid w:val="00EF427B"/>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EF427B"/>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EF42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427B"/>
    <w:rPr>
      <w:rFonts w:ascii="Tahoma" w:hAnsi="Tahoma" w:cs="Tahoma"/>
      <w:sz w:val="16"/>
      <w:szCs w:val="16"/>
    </w:rPr>
  </w:style>
  <w:style w:type="paragraph" w:styleId="PargrafodaLista">
    <w:name w:val="List Paragraph"/>
    <w:basedOn w:val="Normal"/>
    <w:link w:val="PargrafodaListaChar"/>
    <w:uiPriority w:val="34"/>
    <w:qFormat/>
    <w:rsid w:val="00EF427B"/>
    <w:pPr>
      <w:spacing w:after="0" w:line="240" w:lineRule="auto"/>
      <w:ind w:left="720"/>
      <w:contextualSpacing/>
    </w:pPr>
    <w:rPr>
      <w:rFonts w:ascii="Times New Roman" w:eastAsia="Times New Roman" w:hAnsi="Times New Roman" w:cs="Times New Roman"/>
      <w:sz w:val="24"/>
      <w:szCs w:val="20"/>
    </w:rPr>
  </w:style>
  <w:style w:type="character" w:customStyle="1" w:styleId="PargrafodaListaChar">
    <w:name w:val="Parágrafo da Lista Char"/>
    <w:basedOn w:val="Fontepargpadro"/>
    <w:link w:val="PargrafodaLista"/>
    <w:uiPriority w:val="34"/>
    <w:rsid w:val="00EF427B"/>
    <w:rPr>
      <w:rFonts w:ascii="Times New Roman" w:eastAsia="Times New Roman" w:hAnsi="Times New Roman" w:cs="Times New Roman"/>
      <w:sz w:val="24"/>
      <w:szCs w:val="20"/>
    </w:rPr>
  </w:style>
  <w:style w:type="paragraph" w:styleId="Textodenotaderodap">
    <w:name w:val="footnote text"/>
    <w:aliases w:val="fn,foottextfra,footnote,F,Texto nota pie Car Car,Nota de rodapé,Char,Footnote Text Char1 Char,Footnote Text Char Char Char,Footnote Text Char Char Char Char Char Char,Footnote Text Char,ADB,single space,FOOTNOTES,footnote text,ft"/>
    <w:basedOn w:val="Normal"/>
    <w:link w:val="TextodenotaderodapChar"/>
    <w:uiPriority w:val="99"/>
    <w:rsid w:val="00A62DEA"/>
    <w:pPr>
      <w:keepNext/>
      <w:keepLines/>
      <w:spacing w:after="120" w:line="240" w:lineRule="auto"/>
      <w:ind w:left="288" w:hanging="288"/>
      <w:jc w:val="both"/>
    </w:pPr>
    <w:rPr>
      <w:rFonts w:ascii="Times New Roman" w:eastAsia="Times New Roman" w:hAnsi="Times New Roman" w:cs="Times New Roman"/>
      <w:spacing w:val="-3"/>
      <w:sz w:val="20"/>
      <w:szCs w:val="20"/>
      <w:lang w:val="en-US"/>
    </w:rPr>
  </w:style>
  <w:style w:type="character" w:customStyle="1" w:styleId="TextodenotaderodapChar">
    <w:name w:val="Texto de nota de rodapé Char"/>
    <w:aliases w:val="fn Char,foottextfra Char,footnote Char,F Char,Texto nota pie Car Car Char,Nota de rodapé Char,Char Char,Footnote Text Char1 Char Char,Footnote Text Char Char Char Char,Footnote Text Char Char Char Char Char Char Char,ft Char"/>
    <w:basedOn w:val="Fontepargpadro"/>
    <w:link w:val="Textodenotaderodap"/>
    <w:uiPriority w:val="99"/>
    <w:rsid w:val="00A62DEA"/>
    <w:rPr>
      <w:rFonts w:ascii="Times New Roman" w:eastAsia="Times New Roman" w:hAnsi="Times New Roman" w:cs="Times New Roman"/>
      <w:spacing w:val="-3"/>
      <w:sz w:val="20"/>
      <w:szCs w:val="20"/>
      <w:lang w:val="en-US"/>
    </w:rPr>
  </w:style>
  <w:style w:type="character" w:styleId="Hyperlink">
    <w:name w:val="Hyperlink"/>
    <w:uiPriority w:val="99"/>
    <w:unhideWhenUsed/>
    <w:rsid w:val="00A62D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pter">
    <w:name w:val="Chapter"/>
    <w:basedOn w:val="Normal"/>
    <w:next w:val="Normal"/>
    <w:autoRedefine/>
    <w:rsid w:val="00B4560A"/>
    <w:pPr>
      <w:widowControl w:val="0"/>
      <w:numPr>
        <w:numId w:val="1"/>
      </w:numPr>
      <w:tabs>
        <w:tab w:val="left" w:pos="1440"/>
      </w:tabs>
      <w:spacing w:before="120" w:after="120" w:line="240" w:lineRule="auto"/>
      <w:ind w:firstLine="90"/>
      <w:jc w:val="both"/>
    </w:pPr>
    <w:rPr>
      <w:rFonts w:ascii="Times New Roman" w:eastAsia="Times New Roman" w:hAnsi="Times New Roman" w:cs="Times New Roman"/>
      <w:b/>
      <w:bCs/>
      <w:smallCaps/>
      <w:sz w:val="24"/>
      <w:szCs w:val="20"/>
    </w:rPr>
  </w:style>
  <w:style w:type="paragraph" w:customStyle="1" w:styleId="Paragraph">
    <w:name w:val="Paragraph"/>
    <w:basedOn w:val="Recuodecorpodetexto"/>
    <w:link w:val="ParagraphChar"/>
    <w:rsid w:val="00B4560A"/>
    <w:pPr>
      <w:numPr>
        <w:ilvl w:val="1"/>
        <w:numId w:val="1"/>
      </w:numPr>
      <w:spacing w:before="120" w:line="240" w:lineRule="auto"/>
      <w:jc w:val="both"/>
      <w:outlineLvl w:val="1"/>
    </w:pPr>
    <w:rPr>
      <w:rFonts w:ascii="Times New Roman" w:eastAsia="Times New Roman" w:hAnsi="Times New Roman" w:cs="Times New Roman"/>
      <w:sz w:val="24"/>
      <w:szCs w:val="20"/>
      <w:lang w:val="es-ES_tradnl"/>
    </w:rPr>
  </w:style>
  <w:style w:type="paragraph" w:customStyle="1" w:styleId="subpar">
    <w:name w:val="subpar"/>
    <w:basedOn w:val="Recuodecorpodetexto3"/>
    <w:rsid w:val="00B4560A"/>
    <w:pPr>
      <w:numPr>
        <w:ilvl w:val="2"/>
        <w:numId w:val="1"/>
      </w:numPr>
      <w:spacing w:before="120" w:line="240" w:lineRule="auto"/>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B4560A"/>
    <w:pPr>
      <w:numPr>
        <w:ilvl w:val="3"/>
      </w:numPr>
      <w:tabs>
        <w:tab w:val="clear" w:pos="1584"/>
        <w:tab w:val="left" w:pos="0"/>
        <w:tab w:val="num" w:pos="360"/>
      </w:tabs>
    </w:pPr>
  </w:style>
  <w:style w:type="character" w:customStyle="1" w:styleId="ParagraphChar">
    <w:name w:val="Paragraph Char"/>
    <w:basedOn w:val="Fontepargpadro"/>
    <w:link w:val="Paragraph"/>
    <w:rsid w:val="00B4560A"/>
    <w:rPr>
      <w:rFonts w:ascii="Times New Roman" w:eastAsia="Times New Roman" w:hAnsi="Times New Roman" w:cs="Times New Roman"/>
      <w:sz w:val="24"/>
      <w:szCs w:val="20"/>
      <w:lang w:val="es-ES_tradnl"/>
    </w:rPr>
  </w:style>
  <w:style w:type="paragraph" w:styleId="Recuodecorpodetexto">
    <w:name w:val="Body Text Indent"/>
    <w:basedOn w:val="Normal"/>
    <w:link w:val="RecuodecorpodetextoChar"/>
    <w:uiPriority w:val="99"/>
    <w:semiHidden/>
    <w:unhideWhenUsed/>
    <w:rsid w:val="00B4560A"/>
    <w:pPr>
      <w:spacing w:after="120"/>
      <w:ind w:left="283"/>
    </w:pPr>
  </w:style>
  <w:style w:type="character" w:customStyle="1" w:styleId="RecuodecorpodetextoChar">
    <w:name w:val="Recuo de corpo de texto Char"/>
    <w:basedOn w:val="Fontepargpadro"/>
    <w:link w:val="Recuodecorpodetexto"/>
    <w:uiPriority w:val="99"/>
    <w:semiHidden/>
    <w:rsid w:val="00B4560A"/>
  </w:style>
  <w:style w:type="paragraph" w:styleId="Recuodecorpodetexto3">
    <w:name w:val="Body Text Indent 3"/>
    <w:basedOn w:val="Normal"/>
    <w:link w:val="Recuodecorpodetexto3Char"/>
    <w:uiPriority w:val="99"/>
    <w:semiHidden/>
    <w:unhideWhenUsed/>
    <w:rsid w:val="00B4560A"/>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4560A"/>
    <w:rPr>
      <w:sz w:val="16"/>
      <w:szCs w:val="16"/>
    </w:rPr>
  </w:style>
  <w:style w:type="paragraph" w:customStyle="1" w:styleId="Newpage">
    <w:name w:val="Newpage"/>
    <w:basedOn w:val="Chapter"/>
    <w:rsid w:val="00B4560A"/>
    <w:pPr>
      <w:numPr>
        <w:numId w:val="0"/>
      </w:numPr>
      <w:tabs>
        <w:tab w:val="left" w:pos="3060"/>
      </w:tabs>
      <w:spacing w:after="0"/>
    </w:pPr>
  </w:style>
  <w:style w:type="paragraph" w:customStyle="1" w:styleId="Default">
    <w:name w:val="Default"/>
    <w:rsid w:val="00B4560A"/>
    <w:pPr>
      <w:autoSpaceDE w:val="0"/>
      <w:autoSpaceDN w:val="0"/>
      <w:adjustRightInd w:val="0"/>
      <w:spacing w:after="0" w:line="240" w:lineRule="auto"/>
    </w:pPr>
    <w:rPr>
      <w:rFonts w:ascii="Calibri" w:hAnsi="Calibri" w:cs="Calibri"/>
      <w:color w:val="000000"/>
      <w:sz w:val="24"/>
      <w:szCs w:val="24"/>
      <w:lang w:val="en-US"/>
    </w:rPr>
  </w:style>
  <w:style w:type="character" w:styleId="Refdenotaderodap">
    <w:name w:val="footnote reference"/>
    <w:aliases w:val="FC,ftref,referencia nota al pie"/>
    <w:rsid w:val="00B4560A"/>
    <w:rPr>
      <w:vertAlign w:val="superscript"/>
    </w:rPr>
  </w:style>
  <w:style w:type="character" w:styleId="Refdecomentrio">
    <w:name w:val="annotation reference"/>
    <w:basedOn w:val="Fontepargpadro"/>
    <w:uiPriority w:val="99"/>
    <w:semiHidden/>
    <w:unhideWhenUsed/>
    <w:rsid w:val="00EF427B"/>
    <w:rPr>
      <w:sz w:val="16"/>
      <w:szCs w:val="16"/>
    </w:rPr>
  </w:style>
  <w:style w:type="paragraph" w:styleId="Textodecomentrio">
    <w:name w:val="annotation text"/>
    <w:basedOn w:val="Normal"/>
    <w:link w:val="TextodecomentrioChar"/>
    <w:uiPriority w:val="99"/>
    <w:semiHidden/>
    <w:unhideWhenUsed/>
    <w:rsid w:val="00EF427B"/>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EF427B"/>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EF42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427B"/>
    <w:rPr>
      <w:rFonts w:ascii="Tahoma" w:hAnsi="Tahoma" w:cs="Tahoma"/>
      <w:sz w:val="16"/>
      <w:szCs w:val="16"/>
    </w:rPr>
  </w:style>
  <w:style w:type="paragraph" w:styleId="PargrafodaLista">
    <w:name w:val="List Paragraph"/>
    <w:basedOn w:val="Normal"/>
    <w:link w:val="PargrafodaListaChar"/>
    <w:uiPriority w:val="34"/>
    <w:qFormat/>
    <w:rsid w:val="00EF427B"/>
    <w:pPr>
      <w:spacing w:after="0" w:line="240" w:lineRule="auto"/>
      <w:ind w:left="720"/>
      <w:contextualSpacing/>
    </w:pPr>
    <w:rPr>
      <w:rFonts w:ascii="Times New Roman" w:eastAsia="Times New Roman" w:hAnsi="Times New Roman" w:cs="Times New Roman"/>
      <w:sz w:val="24"/>
      <w:szCs w:val="20"/>
    </w:rPr>
  </w:style>
  <w:style w:type="character" w:customStyle="1" w:styleId="PargrafodaListaChar">
    <w:name w:val="Parágrafo da Lista Char"/>
    <w:basedOn w:val="Fontepargpadro"/>
    <w:link w:val="PargrafodaLista"/>
    <w:uiPriority w:val="34"/>
    <w:rsid w:val="00EF427B"/>
    <w:rPr>
      <w:rFonts w:ascii="Times New Roman" w:eastAsia="Times New Roman" w:hAnsi="Times New Roman" w:cs="Times New Roman"/>
      <w:sz w:val="24"/>
      <w:szCs w:val="20"/>
    </w:rPr>
  </w:style>
  <w:style w:type="paragraph" w:styleId="Textodenotaderodap">
    <w:name w:val="footnote text"/>
    <w:aliases w:val="fn,foottextfra,footnote,F,Texto nota pie Car Car,Nota de rodapé,Char,Footnote Text Char1 Char,Footnote Text Char Char Char,Footnote Text Char Char Char Char Char Char,Footnote Text Char,ADB,single space,FOOTNOTES,footnote text,ft"/>
    <w:basedOn w:val="Normal"/>
    <w:link w:val="TextodenotaderodapChar"/>
    <w:uiPriority w:val="99"/>
    <w:rsid w:val="00A62DEA"/>
    <w:pPr>
      <w:keepNext/>
      <w:keepLines/>
      <w:spacing w:after="120" w:line="240" w:lineRule="auto"/>
      <w:ind w:left="288" w:hanging="288"/>
      <w:jc w:val="both"/>
    </w:pPr>
    <w:rPr>
      <w:rFonts w:ascii="Times New Roman" w:eastAsia="Times New Roman" w:hAnsi="Times New Roman" w:cs="Times New Roman"/>
      <w:spacing w:val="-3"/>
      <w:sz w:val="20"/>
      <w:szCs w:val="20"/>
      <w:lang w:val="en-US"/>
    </w:rPr>
  </w:style>
  <w:style w:type="character" w:customStyle="1" w:styleId="TextodenotaderodapChar">
    <w:name w:val="Texto de nota de rodapé Char"/>
    <w:aliases w:val="fn Char,foottextfra Char,footnote Char,F Char,Texto nota pie Car Car Char,Nota de rodapé Char,Char Char,Footnote Text Char1 Char Char,Footnote Text Char Char Char Char,Footnote Text Char Char Char Char Char Char Char,ft Char"/>
    <w:basedOn w:val="Fontepargpadro"/>
    <w:link w:val="Textodenotaderodap"/>
    <w:uiPriority w:val="99"/>
    <w:rsid w:val="00A62DEA"/>
    <w:rPr>
      <w:rFonts w:ascii="Times New Roman" w:eastAsia="Times New Roman" w:hAnsi="Times New Roman" w:cs="Times New Roman"/>
      <w:spacing w:val="-3"/>
      <w:sz w:val="20"/>
      <w:szCs w:val="20"/>
      <w:lang w:val="en-US"/>
    </w:rPr>
  </w:style>
  <w:style w:type="character" w:styleId="Hyperlink">
    <w:name w:val="Hyperlink"/>
    <w:uiPriority w:val="99"/>
    <w:unhideWhenUsed/>
    <w:rsid w:val="00A62D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ingbusiness.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Thaner Nogueira</dc:creator>
  <cp:lastModifiedBy>Thaner Nogueira</cp:lastModifiedBy>
  <cp:revision>2</cp:revision>
  <dcterms:created xsi:type="dcterms:W3CDTF">2014-11-27T18:20:00Z</dcterms:created>
  <dcterms:modified xsi:type="dcterms:W3CDTF">2014-11-27T18:20:00Z</dcterms:modified>
</cp:coreProperties>
</file>