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0E0" w:rsidRPr="00115D0C" w:rsidRDefault="000910E0" w:rsidP="000910E0">
      <w:pPr>
        <w:autoSpaceDE w:val="0"/>
        <w:autoSpaceDN w:val="0"/>
        <w:adjustRightInd w:val="0"/>
        <w:spacing w:after="0" w:line="240" w:lineRule="auto"/>
      </w:pPr>
      <w:r w:rsidRPr="00115D0C">
        <w:t>Projeto: Índice de Transparência e Cidadania Fiscal: Transparência, Educação Fiscal e Self-Responsability como Referência para a Indução de Práticas mais Cooperativas entre Fiscos e Fisco/Contribuintes</w:t>
      </w:r>
    </w:p>
    <w:p w:rsidR="000910E0" w:rsidRPr="00115D0C" w:rsidRDefault="000910E0" w:rsidP="000910E0">
      <w:pPr>
        <w:autoSpaceDE w:val="0"/>
        <w:autoSpaceDN w:val="0"/>
        <w:adjustRightInd w:val="0"/>
        <w:spacing w:after="0" w:line="240" w:lineRule="auto"/>
      </w:pPr>
    </w:p>
    <w:p w:rsidR="004F31CF" w:rsidRPr="00115D0C" w:rsidRDefault="000910E0" w:rsidP="000910E0">
      <w:pPr>
        <w:autoSpaceDE w:val="0"/>
        <w:autoSpaceDN w:val="0"/>
        <w:adjustRightInd w:val="0"/>
        <w:spacing w:after="0" w:line="240" w:lineRule="auto"/>
      </w:pPr>
      <w:r w:rsidRPr="00115D0C">
        <w:t>Contrato de Serviços Técnicos de Consultoria NEF</w:t>
      </w:r>
      <w:r w:rsidR="004B365A" w:rsidRPr="00115D0C">
        <w:t>-</w:t>
      </w:r>
      <w:r w:rsidRPr="00115D0C">
        <w:t>BID Nº 001/2011 BR-T-1145</w:t>
      </w:r>
    </w:p>
    <w:p w:rsidR="000910E0" w:rsidRPr="00115D0C" w:rsidRDefault="000910E0" w:rsidP="000910E0">
      <w:pPr>
        <w:autoSpaceDE w:val="0"/>
        <w:autoSpaceDN w:val="0"/>
        <w:adjustRightInd w:val="0"/>
        <w:spacing w:after="0" w:line="240" w:lineRule="auto"/>
      </w:pPr>
    </w:p>
    <w:p w:rsidR="00656488" w:rsidRPr="00656488" w:rsidRDefault="000910E0" w:rsidP="00656488">
      <w:pPr>
        <w:autoSpaceDE w:val="0"/>
        <w:autoSpaceDN w:val="0"/>
        <w:adjustRightInd w:val="0"/>
        <w:spacing w:after="0" w:line="240" w:lineRule="auto"/>
        <w:rPr>
          <w:i/>
        </w:rPr>
      </w:pPr>
      <w:r w:rsidRPr="00115D0C">
        <w:t xml:space="preserve">Produto </w:t>
      </w:r>
      <w:r w:rsidR="00656488">
        <w:t xml:space="preserve">2 – </w:t>
      </w:r>
      <w:r w:rsidR="00656488" w:rsidRPr="00656488">
        <w:t>Autoavaliação dos Estados</w:t>
      </w:r>
      <w:r w:rsidR="00656488">
        <w:t>:</w:t>
      </w:r>
      <w:r w:rsidR="00656488" w:rsidRPr="00656488">
        <w:t xml:space="preserve"> </w:t>
      </w:r>
      <w:r w:rsidR="00656488" w:rsidRPr="00656488">
        <w:rPr>
          <w:i/>
        </w:rPr>
        <w:t xml:space="preserve">Os pesquisadores ad </w:t>
      </w:r>
      <w:proofErr w:type="spellStart"/>
      <w:r w:rsidR="00656488" w:rsidRPr="00656488">
        <w:rPr>
          <w:i/>
        </w:rPr>
        <w:t>hoc</w:t>
      </w:r>
      <w:proofErr w:type="spellEnd"/>
      <w:r w:rsidR="00656488" w:rsidRPr="00656488">
        <w:rPr>
          <w:i/>
        </w:rPr>
        <w:t xml:space="preserve"> dos Fiscos estaduais avaliarão os sites dos Estados em que atuam e identificarão boas práticas a serem difundidas. A equipe de pesquisadores do NEF sistematizará as informações coletadas e apresentará um relatório para o “Grupo de Casos Piloto”.</w:t>
      </w:r>
    </w:p>
    <w:p w:rsidR="00656488" w:rsidRDefault="00656488" w:rsidP="00656488">
      <w:pPr>
        <w:autoSpaceDE w:val="0"/>
        <w:autoSpaceDN w:val="0"/>
        <w:adjustRightInd w:val="0"/>
        <w:spacing w:after="0" w:line="240" w:lineRule="auto"/>
      </w:pPr>
      <w:r>
        <w:t xml:space="preserve"> </w:t>
      </w:r>
    </w:p>
    <w:p w:rsidR="00656488" w:rsidRDefault="00656488" w:rsidP="000910E0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</w:p>
    <w:p w:rsidR="000910E0" w:rsidRPr="000910E0" w:rsidRDefault="000910E0" w:rsidP="000910E0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0910E0">
        <w:rPr>
          <w:b/>
          <w:sz w:val="24"/>
          <w:szCs w:val="24"/>
        </w:rPr>
        <w:t>Parecer do Consultor</w:t>
      </w:r>
    </w:p>
    <w:p w:rsidR="00115D0C" w:rsidRDefault="00115D0C" w:rsidP="0063425D"/>
    <w:p w:rsidR="00656488" w:rsidRDefault="004B491E" w:rsidP="0063425D">
      <w:r>
        <w:t xml:space="preserve">Nesta </w:t>
      </w:r>
      <w:r w:rsidR="00656488">
        <w:t xml:space="preserve">segunda </w:t>
      </w:r>
      <w:r>
        <w:t>etapa, o</w:t>
      </w:r>
      <w:r w:rsidR="000910E0">
        <w:t xml:space="preserve"> projeto </w:t>
      </w:r>
      <w:r w:rsidR="00656488">
        <w:t>fez progressos na identificação dos indicadores mais relevantes para a transparência das finanças públicas estaduais e o</w:t>
      </w:r>
      <w:r w:rsidR="00A31667">
        <w:t xml:space="preserve"> </w:t>
      </w:r>
      <w:r w:rsidR="00656488">
        <w:t xml:space="preserve">exercício da cidadania fiscal. </w:t>
      </w:r>
      <w:r w:rsidR="005F30AF">
        <w:t xml:space="preserve">A característica </w:t>
      </w:r>
      <w:r w:rsidR="00656488">
        <w:t xml:space="preserve">mais notável do trabalho foi </w:t>
      </w:r>
      <w:proofErr w:type="gramStart"/>
      <w:r w:rsidR="00656488">
        <w:t>a</w:t>
      </w:r>
      <w:proofErr w:type="gramEnd"/>
      <w:r w:rsidR="00656488">
        <w:t xml:space="preserve"> estreita cooperação que se </w:t>
      </w:r>
      <w:r w:rsidR="00A31667">
        <w:t xml:space="preserve">desenvolveu </w:t>
      </w:r>
      <w:r w:rsidR="00656488">
        <w:t>entre os pesquisadores do Núcleo de Estudos Fiscais (NEF) da Fundação Getúlio Vargas e os funcionários destacados pelos Estados</w:t>
      </w:r>
      <w:r w:rsidR="00A31667">
        <w:t xml:space="preserve"> </w:t>
      </w:r>
      <w:r w:rsidR="00656488">
        <w:t xml:space="preserve">piloto para participar da </w:t>
      </w:r>
      <w:r w:rsidR="00A31667">
        <w:t xml:space="preserve">concepção e desenho do </w:t>
      </w:r>
      <w:r w:rsidR="005F30AF">
        <w:t>Í</w:t>
      </w:r>
      <w:r w:rsidR="00A31667">
        <w:t>ndice de Transparência e Cidadania Fiscal (ITCF). Como resultado de tal cooperação, conseguiu-se avançar na delimitação do universo de indicadores e, ao mesmo tempo, mapear os recursos e facilidades já existentes nos portais fazendários e de transparência dos estados.</w:t>
      </w:r>
    </w:p>
    <w:p w:rsidR="00656488" w:rsidRDefault="00A31667" w:rsidP="00A31667">
      <w:r>
        <w:t xml:space="preserve">O trabalho cooperativo também gerou uma “fertilização cruzada” de idéias e conceitos, </w:t>
      </w:r>
      <w:r w:rsidR="005F30AF">
        <w:t xml:space="preserve">tanto entre o NEF e os estados como entre os estados mesmos, </w:t>
      </w:r>
      <w:r>
        <w:t xml:space="preserve">permitindo que os próprios funcionários dos fiscos estaduais apontassem as fortalezas e debilidades de seus portais. Essa riqueza de análise é capturada no relatório ora apresentado (Produto </w:t>
      </w:r>
      <w:proofErr w:type="gramStart"/>
      <w:r>
        <w:t>2</w:t>
      </w:r>
      <w:proofErr w:type="gramEnd"/>
      <w:r>
        <w:t xml:space="preserve">), que apresenta como apêndice um </w:t>
      </w:r>
      <w:r w:rsidR="006D0E71">
        <w:t xml:space="preserve">levantamento </w:t>
      </w:r>
      <w:r>
        <w:t xml:space="preserve">do que está (e do que deveria estar mas não está) </w:t>
      </w:r>
      <w:r w:rsidR="006D0E71">
        <w:t xml:space="preserve">disponível </w:t>
      </w:r>
      <w:r>
        <w:t>ao cidadão de cada estado.</w:t>
      </w:r>
      <w:r w:rsidR="006D0E71">
        <w:t xml:space="preserve"> Com o Produto </w:t>
      </w:r>
      <w:proofErr w:type="gramStart"/>
      <w:r w:rsidR="006D0E71">
        <w:t>2</w:t>
      </w:r>
      <w:proofErr w:type="gramEnd"/>
      <w:r w:rsidR="006D0E71">
        <w:t>, o objetivo principal, ITCF, começa a ganhar seus contornos.</w:t>
      </w:r>
    </w:p>
    <w:p w:rsidR="006D0E71" w:rsidRDefault="006D0E71" w:rsidP="006D0E71"/>
    <w:p w:rsidR="008742AD" w:rsidRDefault="006D0E71" w:rsidP="0063425D">
      <w:r>
        <w:t xml:space="preserve">Por sua coerência com o projeto-matriz ITCF e pela qualidade e relevância dos indicadores identificados, APROVO o documento-relatório e seu apêndice, </w:t>
      </w:r>
      <w:r w:rsidR="005F30AF">
        <w:t xml:space="preserve">que </w:t>
      </w:r>
      <w:r>
        <w:t xml:space="preserve">constituem o Produto </w:t>
      </w:r>
      <w:proofErr w:type="gramStart"/>
      <w:r>
        <w:t>2</w:t>
      </w:r>
      <w:proofErr w:type="gramEnd"/>
      <w:r>
        <w:t>.</w:t>
      </w:r>
    </w:p>
    <w:p w:rsidR="00115D0C" w:rsidRDefault="00115D0C" w:rsidP="00115D0C">
      <w:pPr>
        <w:jc w:val="center"/>
      </w:pPr>
      <w:r>
        <w:t xml:space="preserve">São Paulo, </w:t>
      </w:r>
      <w:r w:rsidR="006D0E71">
        <w:t>18 de julho</w:t>
      </w:r>
      <w:r>
        <w:t xml:space="preserve"> de 2012.</w:t>
      </w:r>
    </w:p>
    <w:p w:rsidR="00115D0C" w:rsidRDefault="007730B0" w:rsidP="00115D0C">
      <w:pPr>
        <w:jc w:val="center"/>
      </w:pPr>
      <w:r>
        <w:rPr>
          <w:noProof/>
        </w:rPr>
        <w:drawing>
          <wp:inline distT="0" distB="0" distL="0" distR="0">
            <wp:extent cx="2286482" cy="542059"/>
            <wp:effectExtent l="19050" t="0" r="0" b="0"/>
            <wp:docPr id="7" name="Picture 6" descr="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2952" cy="541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D0C" w:rsidRPr="004B491E" w:rsidRDefault="00115D0C" w:rsidP="00115D0C">
      <w:pPr>
        <w:jc w:val="center"/>
      </w:pPr>
      <w:r>
        <w:t>Isaias Coelho</w:t>
      </w:r>
    </w:p>
    <w:sectPr w:rsidR="00115D0C" w:rsidRPr="004B491E" w:rsidSect="0092081B">
      <w:headerReference w:type="default" r:id="rId9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1D2" w:rsidRDefault="00D111D2" w:rsidP="00BA56E1">
      <w:pPr>
        <w:spacing w:after="0" w:line="240" w:lineRule="auto"/>
      </w:pPr>
      <w:r>
        <w:separator/>
      </w:r>
    </w:p>
  </w:endnote>
  <w:endnote w:type="continuationSeparator" w:id="0">
    <w:p w:rsidR="00D111D2" w:rsidRDefault="00D111D2" w:rsidP="00BA5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1D2" w:rsidRDefault="00D111D2" w:rsidP="00BA56E1">
      <w:pPr>
        <w:spacing w:after="0" w:line="240" w:lineRule="auto"/>
      </w:pPr>
      <w:r>
        <w:separator/>
      </w:r>
    </w:p>
  </w:footnote>
  <w:footnote w:type="continuationSeparator" w:id="0">
    <w:p w:rsidR="00D111D2" w:rsidRDefault="00D111D2" w:rsidP="00BA5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F22" w:rsidRDefault="00B12F22">
    <w:pPr>
      <w:pStyle w:val="Cabealho"/>
    </w:pPr>
  </w:p>
  <w:tbl>
    <w:tblPr>
      <w:tblW w:w="9638" w:type="dxa"/>
      <w:tblCellMar>
        <w:left w:w="57" w:type="dxa"/>
        <w:right w:w="57" w:type="dxa"/>
      </w:tblCellMar>
      <w:tblLook w:val="04A0"/>
    </w:tblPr>
    <w:tblGrid>
      <w:gridCol w:w="4819"/>
      <w:gridCol w:w="4819"/>
    </w:tblGrid>
    <w:tr w:rsidR="00B12F22" w:rsidTr="00172B25">
      <w:trPr>
        <w:trHeight w:val="1417"/>
      </w:trPr>
      <w:tc>
        <w:tcPr>
          <w:tcW w:w="4819" w:type="dxa"/>
          <w:vAlign w:val="center"/>
          <w:hideMark/>
        </w:tcPr>
        <w:p w:rsidR="00B12F22" w:rsidRDefault="00B12F22" w:rsidP="00172B25">
          <w:pPr>
            <w:pBdr>
              <w:bottom w:val="single" w:sz="12" w:space="0" w:color="auto"/>
            </w:pBdr>
            <w:spacing w:line="360" w:lineRule="auto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Escola de Direito de São Paulo da Fundação Getulio Vargas – DIREITO GV</w:t>
          </w:r>
        </w:p>
        <w:p w:rsidR="00B12F22" w:rsidRDefault="00B12F22" w:rsidP="00172B25">
          <w:pPr>
            <w:spacing w:line="360" w:lineRule="auto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Núcleo de Estudos Fiscais</w:t>
          </w:r>
        </w:p>
      </w:tc>
      <w:tc>
        <w:tcPr>
          <w:tcW w:w="4819" w:type="dxa"/>
          <w:vAlign w:val="center"/>
          <w:hideMark/>
        </w:tcPr>
        <w:p w:rsidR="00B12F22" w:rsidRDefault="00B12F22" w:rsidP="00172B25">
          <w:pPr>
            <w:spacing w:line="360" w:lineRule="auto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1761490" cy="7315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149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12F22" w:rsidRDefault="00B12F22">
    <w:pPr>
      <w:pStyle w:val="Cabealho"/>
    </w:pPr>
  </w:p>
  <w:p w:rsidR="00B12F22" w:rsidRDefault="00B12F2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75E64"/>
    <w:multiLevelType w:val="hybridMultilevel"/>
    <w:tmpl w:val="C816B046"/>
    <w:lvl w:ilvl="0" w:tplc="64D83EFC">
      <w:numFmt w:val="bullet"/>
      <w:lvlText w:val=""/>
      <w:lvlJc w:val="left"/>
      <w:pPr>
        <w:ind w:left="1494" w:hanging="360"/>
      </w:pPr>
      <w:rPr>
        <w:rFonts w:ascii="Symbol" w:eastAsiaTheme="minorEastAsia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7B105C17"/>
    <w:multiLevelType w:val="hybridMultilevel"/>
    <w:tmpl w:val="7D66349A"/>
    <w:lvl w:ilvl="0" w:tplc="8D3A71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C24C1"/>
    <w:rsid w:val="00033C45"/>
    <w:rsid w:val="0003637E"/>
    <w:rsid w:val="00067F2A"/>
    <w:rsid w:val="0007394B"/>
    <w:rsid w:val="000910E0"/>
    <w:rsid w:val="000A4AED"/>
    <w:rsid w:val="00115D0C"/>
    <w:rsid w:val="00133E03"/>
    <w:rsid w:val="00134D83"/>
    <w:rsid w:val="001A4C21"/>
    <w:rsid w:val="001B6260"/>
    <w:rsid w:val="001C48F1"/>
    <w:rsid w:val="001C6019"/>
    <w:rsid w:val="00201367"/>
    <w:rsid w:val="002207BA"/>
    <w:rsid w:val="002266B3"/>
    <w:rsid w:val="0024086E"/>
    <w:rsid w:val="002411B1"/>
    <w:rsid w:val="00263D9F"/>
    <w:rsid w:val="00264296"/>
    <w:rsid w:val="00282313"/>
    <w:rsid w:val="00282585"/>
    <w:rsid w:val="0028333B"/>
    <w:rsid w:val="00293158"/>
    <w:rsid w:val="00297943"/>
    <w:rsid w:val="002E5E48"/>
    <w:rsid w:val="00313D0B"/>
    <w:rsid w:val="00330345"/>
    <w:rsid w:val="00330C3A"/>
    <w:rsid w:val="00353E45"/>
    <w:rsid w:val="00396C6C"/>
    <w:rsid w:val="003A6137"/>
    <w:rsid w:val="003C4DE2"/>
    <w:rsid w:val="003C7639"/>
    <w:rsid w:val="003E5689"/>
    <w:rsid w:val="003F4E53"/>
    <w:rsid w:val="0041196B"/>
    <w:rsid w:val="00412AAE"/>
    <w:rsid w:val="004514B7"/>
    <w:rsid w:val="00470D15"/>
    <w:rsid w:val="00475B4C"/>
    <w:rsid w:val="004B365A"/>
    <w:rsid w:val="004B491E"/>
    <w:rsid w:val="004C45C3"/>
    <w:rsid w:val="004F31CF"/>
    <w:rsid w:val="00517BE3"/>
    <w:rsid w:val="00543DE9"/>
    <w:rsid w:val="00553A18"/>
    <w:rsid w:val="0055619A"/>
    <w:rsid w:val="005A3139"/>
    <w:rsid w:val="005D684D"/>
    <w:rsid w:val="005E2D5C"/>
    <w:rsid w:val="005E357D"/>
    <w:rsid w:val="005F30AF"/>
    <w:rsid w:val="006001DD"/>
    <w:rsid w:val="00621D39"/>
    <w:rsid w:val="0063425D"/>
    <w:rsid w:val="00656488"/>
    <w:rsid w:val="0066134A"/>
    <w:rsid w:val="006D0E71"/>
    <w:rsid w:val="006D2EB4"/>
    <w:rsid w:val="006E499A"/>
    <w:rsid w:val="00713FA0"/>
    <w:rsid w:val="007730B0"/>
    <w:rsid w:val="007772B9"/>
    <w:rsid w:val="00784E1A"/>
    <w:rsid w:val="00792196"/>
    <w:rsid w:val="007D7FD3"/>
    <w:rsid w:val="00814B46"/>
    <w:rsid w:val="00825957"/>
    <w:rsid w:val="008742AD"/>
    <w:rsid w:val="00882E96"/>
    <w:rsid w:val="008D679C"/>
    <w:rsid w:val="008E77CE"/>
    <w:rsid w:val="008F5F3E"/>
    <w:rsid w:val="0092081B"/>
    <w:rsid w:val="00943D1B"/>
    <w:rsid w:val="009518F7"/>
    <w:rsid w:val="0098630D"/>
    <w:rsid w:val="009D5A85"/>
    <w:rsid w:val="009F62F3"/>
    <w:rsid w:val="00A262AB"/>
    <w:rsid w:val="00A31667"/>
    <w:rsid w:val="00A322B4"/>
    <w:rsid w:val="00A55620"/>
    <w:rsid w:val="00A62B25"/>
    <w:rsid w:val="00A63B24"/>
    <w:rsid w:val="00A76297"/>
    <w:rsid w:val="00A777E5"/>
    <w:rsid w:val="00A87058"/>
    <w:rsid w:val="00A94B87"/>
    <w:rsid w:val="00AA497B"/>
    <w:rsid w:val="00AB2DF1"/>
    <w:rsid w:val="00AC2344"/>
    <w:rsid w:val="00AC57F7"/>
    <w:rsid w:val="00AC626C"/>
    <w:rsid w:val="00B12F22"/>
    <w:rsid w:val="00B35CAC"/>
    <w:rsid w:val="00B75435"/>
    <w:rsid w:val="00B9040F"/>
    <w:rsid w:val="00BA34AF"/>
    <w:rsid w:val="00BA56E1"/>
    <w:rsid w:val="00C50287"/>
    <w:rsid w:val="00C86015"/>
    <w:rsid w:val="00C9159C"/>
    <w:rsid w:val="00C922B0"/>
    <w:rsid w:val="00C928ED"/>
    <w:rsid w:val="00D01E6A"/>
    <w:rsid w:val="00D111D2"/>
    <w:rsid w:val="00D33518"/>
    <w:rsid w:val="00D429F7"/>
    <w:rsid w:val="00D96453"/>
    <w:rsid w:val="00DB2F56"/>
    <w:rsid w:val="00DB4136"/>
    <w:rsid w:val="00DC6147"/>
    <w:rsid w:val="00DF3B03"/>
    <w:rsid w:val="00E04547"/>
    <w:rsid w:val="00E41B31"/>
    <w:rsid w:val="00E46626"/>
    <w:rsid w:val="00E47FB9"/>
    <w:rsid w:val="00E52786"/>
    <w:rsid w:val="00E74D65"/>
    <w:rsid w:val="00E7554B"/>
    <w:rsid w:val="00E85D11"/>
    <w:rsid w:val="00EA5FC4"/>
    <w:rsid w:val="00EB40C0"/>
    <w:rsid w:val="00EC24C1"/>
    <w:rsid w:val="00EE7A08"/>
    <w:rsid w:val="00F0090C"/>
    <w:rsid w:val="00F20F21"/>
    <w:rsid w:val="00F51FD9"/>
    <w:rsid w:val="00F771C2"/>
    <w:rsid w:val="00FA2105"/>
    <w:rsid w:val="00FA6411"/>
    <w:rsid w:val="00FD7E33"/>
    <w:rsid w:val="00FF0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626"/>
  </w:style>
  <w:style w:type="paragraph" w:styleId="Ttulo1">
    <w:name w:val="heading 1"/>
    <w:basedOn w:val="Normal"/>
    <w:link w:val="Ttulo1Char"/>
    <w:uiPriority w:val="9"/>
    <w:qFormat/>
    <w:rsid w:val="005E2D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C24C1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82585"/>
    <w:pPr>
      <w:ind w:left="720"/>
      <w:contextualSpacing/>
    </w:pPr>
  </w:style>
  <w:style w:type="character" w:customStyle="1" w:styleId="apple-style-span">
    <w:name w:val="apple-style-span"/>
    <w:basedOn w:val="Fontepargpadro"/>
    <w:rsid w:val="003F4E53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A56E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A56E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A56E1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5E2D5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FC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2F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2F22"/>
  </w:style>
  <w:style w:type="paragraph" w:styleId="Rodap">
    <w:name w:val="footer"/>
    <w:basedOn w:val="Normal"/>
    <w:link w:val="RodapChar"/>
    <w:uiPriority w:val="99"/>
    <w:unhideWhenUsed/>
    <w:rsid w:val="00B12F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2F22"/>
  </w:style>
  <w:style w:type="paragraph" w:styleId="NormalWeb">
    <w:name w:val="Normal (Web)"/>
    <w:basedOn w:val="Normal"/>
    <w:uiPriority w:val="99"/>
    <w:unhideWhenUsed/>
    <w:rsid w:val="0065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5E2D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C24C1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82585"/>
    <w:pPr>
      <w:ind w:left="720"/>
      <w:contextualSpacing/>
    </w:pPr>
  </w:style>
  <w:style w:type="character" w:customStyle="1" w:styleId="apple-style-span">
    <w:name w:val="apple-style-span"/>
    <w:basedOn w:val="Fontepargpadro"/>
    <w:rsid w:val="003F4E53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A56E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A56E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A56E1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5E2D5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FC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2F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2F22"/>
  </w:style>
  <w:style w:type="paragraph" w:styleId="Rodap">
    <w:name w:val="footer"/>
    <w:basedOn w:val="Normal"/>
    <w:link w:val="RodapChar"/>
    <w:uiPriority w:val="99"/>
    <w:unhideWhenUsed/>
    <w:rsid w:val="00B12F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2F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E62B3-ACF0-40EB-A0F3-3C799EC3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basile</dc:creator>
  <cp:lastModifiedBy>NEF-01</cp:lastModifiedBy>
  <cp:revision>2</cp:revision>
  <cp:lastPrinted>2011-09-22T20:59:00Z</cp:lastPrinted>
  <dcterms:created xsi:type="dcterms:W3CDTF">2012-07-18T20:18:00Z</dcterms:created>
  <dcterms:modified xsi:type="dcterms:W3CDTF">2012-07-18T20:18:00Z</dcterms:modified>
</cp:coreProperties>
</file>